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kinsoku/>
        <w:wordWrap/>
        <w:overflowPunct/>
        <w:topLinePunct w:val="0"/>
        <w:autoSpaceDE/>
        <w:autoSpaceDN/>
        <w:bidi w:val="0"/>
        <w:spacing w:line="576" w:lineRule="exact"/>
        <w:ind w:firstLine="1800" w:firstLineChars="500"/>
        <w:jc w:val="both"/>
        <w:textAlignment w:val="auto"/>
        <w:rPr>
          <w:rFonts w:hint="default" w:ascii="方正小标宋简体" w:hAnsi="方正小标宋简体" w:eastAsia="方正小标宋简体" w:cs="方正小标宋简体"/>
          <w:b w:val="0"/>
          <w:bCs w:val="0"/>
          <w:color w:val="auto"/>
          <w:sz w:val="36"/>
          <w:szCs w:val="36"/>
          <w:highlight w:val="none"/>
          <w:lang w:val="en-US" w:eastAsia="zh-CN"/>
        </w:rPr>
      </w:pPr>
      <w:bookmarkStart w:id="0" w:name="_GoBack"/>
      <w:r>
        <w:rPr>
          <w:rFonts w:hint="eastAsia" w:ascii="方正小标宋简体" w:hAnsi="方正小标宋简体" w:eastAsia="方正小标宋简体" w:cs="方正小标宋简体"/>
          <w:b w:val="0"/>
          <w:bCs w:val="0"/>
          <w:color w:val="auto"/>
          <w:sz w:val="36"/>
          <w:szCs w:val="36"/>
          <w:highlight w:val="none"/>
          <w:lang w:val="en-US" w:eastAsia="zh-CN"/>
        </w:rPr>
        <w:t>同德县旧城改造项目（一期）房屋</w:t>
      </w:r>
    </w:p>
    <w:p>
      <w:pPr>
        <w:pStyle w:val="8"/>
        <w:keepNext w:val="0"/>
        <w:keepLines w:val="0"/>
        <w:pageBreakBefore w:val="0"/>
        <w:kinsoku/>
        <w:wordWrap/>
        <w:overflowPunct/>
        <w:topLinePunct w:val="0"/>
        <w:autoSpaceDE/>
        <w:autoSpaceDN/>
        <w:bidi w:val="0"/>
        <w:spacing w:line="576" w:lineRule="exact"/>
        <w:jc w:val="center"/>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征收补偿安置方案</w:t>
      </w:r>
    </w:p>
    <w:p>
      <w:pPr>
        <w:pStyle w:val="8"/>
        <w:keepNext w:val="0"/>
        <w:keepLines w:val="0"/>
        <w:pageBreakBefore w:val="0"/>
        <w:kinsoku/>
        <w:wordWrap/>
        <w:overflowPunct/>
        <w:topLinePunct w:val="0"/>
        <w:autoSpaceDE/>
        <w:autoSpaceDN/>
        <w:bidi w:val="0"/>
        <w:spacing w:line="576" w:lineRule="exact"/>
        <w:jc w:val="center"/>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（征求意见稿）</w:t>
      </w:r>
    </w:p>
    <w:bookmarkEnd w:id="0"/>
    <w:p>
      <w:pPr>
        <w:pStyle w:val="8"/>
        <w:keepNext w:val="0"/>
        <w:keepLines w:val="0"/>
        <w:pageBreakBefore w:val="0"/>
        <w:kinsoku/>
        <w:wordWrap/>
        <w:overflowPunct/>
        <w:topLinePunct w:val="0"/>
        <w:autoSpaceDE/>
        <w:autoSpaceDN/>
        <w:bidi w:val="0"/>
        <w:spacing w:line="576" w:lineRule="exact"/>
        <w:jc w:val="both"/>
        <w:textAlignment w:val="auto"/>
        <w:rPr>
          <w:rFonts w:hint="eastAsia" w:ascii="黑体" w:hAnsi="黑体" w:eastAsia="黑体" w:cs="黑体"/>
          <w:b w:val="0"/>
          <w:bCs w:val="0"/>
          <w:color w:val="auto"/>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630" w:leftChars="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一、征收目的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因同德县旧城区建成年代久远，基础设施落后，商业及居民区建设混乱，存在较大安全隐患。为合理</w:t>
      </w:r>
      <w:r>
        <w:rPr>
          <w:rFonts w:hint="eastAsia" w:ascii="仿宋_GB2312" w:hAnsi="仿宋_GB2312" w:eastAsia="仿宋_GB2312" w:cs="仿宋_GB2312"/>
          <w:color w:val="auto"/>
          <w:sz w:val="32"/>
          <w:szCs w:val="32"/>
          <w:highlight w:val="none"/>
        </w:rPr>
        <w:t>规划</w:t>
      </w:r>
      <w:r>
        <w:rPr>
          <w:rFonts w:hint="eastAsia" w:ascii="仿宋_GB2312" w:hAnsi="仿宋_GB2312" w:eastAsia="仿宋_GB2312" w:cs="仿宋_GB2312"/>
          <w:b w:val="0"/>
          <w:bCs w:val="0"/>
          <w:color w:val="auto"/>
          <w:sz w:val="32"/>
          <w:szCs w:val="32"/>
          <w:highlight w:val="none"/>
          <w:lang w:val="en-US" w:eastAsia="zh-CN"/>
        </w:rPr>
        <w:t>同德县区域布局和</w:t>
      </w:r>
      <w:r>
        <w:rPr>
          <w:rFonts w:hint="eastAsia" w:ascii="仿宋_GB2312" w:hAnsi="仿宋_GB2312" w:eastAsia="仿宋_GB2312" w:cs="仿宋_GB2312"/>
          <w:b w:val="0"/>
          <w:bCs w:val="0"/>
          <w:color w:val="auto"/>
          <w:sz w:val="32"/>
          <w:szCs w:val="32"/>
          <w:highlight w:val="none"/>
        </w:rPr>
        <w:t>功能调整</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提升</w:t>
      </w:r>
      <w:r>
        <w:rPr>
          <w:rFonts w:hint="eastAsia" w:ascii="仿宋_GB2312" w:hAnsi="仿宋_GB2312" w:eastAsia="仿宋_GB2312" w:cs="仿宋_GB2312"/>
          <w:color w:val="auto"/>
          <w:sz w:val="32"/>
          <w:szCs w:val="32"/>
          <w:highlight w:val="none"/>
          <w:lang w:eastAsia="zh-CN"/>
        </w:rPr>
        <w:t>城镇</w:t>
      </w:r>
      <w:r>
        <w:rPr>
          <w:rFonts w:hint="eastAsia" w:ascii="仿宋_GB2312" w:hAnsi="仿宋_GB2312" w:eastAsia="仿宋_GB2312" w:cs="仿宋_GB2312"/>
          <w:color w:val="auto"/>
          <w:sz w:val="32"/>
          <w:szCs w:val="32"/>
          <w:highlight w:val="none"/>
        </w:rPr>
        <w:t>形象、改善居民生活条件</w:t>
      </w:r>
      <w:r>
        <w:rPr>
          <w:rFonts w:hint="eastAsia" w:ascii="仿宋_GB2312" w:hAnsi="仿宋_GB2312" w:eastAsia="仿宋_GB2312" w:cs="仿宋_GB2312"/>
          <w:color w:val="auto"/>
          <w:sz w:val="32"/>
          <w:szCs w:val="32"/>
          <w:highlight w:val="none"/>
          <w:lang w:val="en-US" w:eastAsia="zh-CN"/>
        </w:rPr>
        <w:t>和营商环境</w:t>
      </w:r>
      <w:r>
        <w:rPr>
          <w:rFonts w:hint="eastAsia" w:ascii="仿宋_GB2312" w:hAnsi="仿宋_GB2312" w:eastAsia="仿宋_GB2312" w:cs="仿宋_GB2312"/>
          <w:color w:val="auto"/>
          <w:sz w:val="32"/>
          <w:szCs w:val="32"/>
          <w:highlight w:val="none"/>
        </w:rPr>
        <w:t>、重塑老城区的中心活力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推动区域经济发展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完成旧城区的升级改造，</w:t>
      </w:r>
      <w:r>
        <w:rPr>
          <w:rFonts w:hint="eastAsia" w:ascii="仿宋_GB2312" w:hAnsi="仿宋_GB2312" w:eastAsia="仿宋_GB2312" w:cs="仿宋_GB2312"/>
          <w:b w:val="0"/>
          <w:bCs w:val="0"/>
          <w:color w:val="auto"/>
          <w:sz w:val="32"/>
          <w:szCs w:val="32"/>
          <w:highlight w:val="none"/>
        </w:rPr>
        <w:t>根据同德县国民经济和社会发展规划</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计划</w:t>
      </w:r>
      <w:r>
        <w:rPr>
          <w:rFonts w:hint="eastAsia" w:ascii="仿宋_GB2312" w:hAnsi="仿宋_GB2312" w:eastAsia="仿宋_GB2312" w:cs="仿宋_GB2312"/>
          <w:b w:val="0"/>
          <w:bCs w:val="0"/>
          <w:color w:val="auto"/>
          <w:sz w:val="32"/>
          <w:szCs w:val="32"/>
          <w:highlight w:val="none"/>
        </w:rPr>
        <w:t>及</w:t>
      </w:r>
      <w:r>
        <w:rPr>
          <w:rFonts w:hint="eastAsia" w:ascii="仿宋_GB2312" w:hAnsi="仿宋_GB2312" w:eastAsia="仿宋_GB2312" w:cs="仿宋_GB2312"/>
          <w:b w:val="0"/>
          <w:bCs w:val="0"/>
          <w:color w:val="auto"/>
          <w:sz w:val="32"/>
          <w:szCs w:val="32"/>
          <w:highlight w:val="none"/>
          <w:lang w:val="en-US" w:eastAsia="zh-CN"/>
        </w:rPr>
        <w:t>国土空间规划</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在征收</w:t>
      </w:r>
      <w:r>
        <w:rPr>
          <w:rFonts w:hint="eastAsia" w:ascii="仿宋_GB2312" w:hAnsi="仿宋_GB2312" w:eastAsia="仿宋_GB2312" w:cs="仿宋_GB2312"/>
          <w:color w:val="auto"/>
          <w:sz w:val="32"/>
          <w:szCs w:val="32"/>
          <w:highlight w:val="none"/>
        </w:rPr>
        <w:t>范围内房屋调查基础上，结合我县实际，</w:t>
      </w:r>
      <w:r>
        <w:rPr>
          <w:rFonts w:hint="eastAsia" w:ascii="仿宋_GB2312" w:hAnsi="仿宋_GB2312" w:eastAsia="仿宋_GB2312" w:cs="仿宋_GB2312"/>
          <w:color w:val="auto"/>
          <w:sz w:val="32"/>
          <w:szCs w:val="32"/>
          <w:highlight w:val="none"/>
          <w:lang w:val="en-US" w:eastAsia="zh-CN"/>
        </w:rPr>
        <w:t>制定</w:t>
      </w:r>
      <w:r>
        <w:rPr>
          <w:rFonts w:hint="eastAsia" w:ascii="仿宋_GB2312" w:hAnsi="仿宋_GB2312" w:eastAsia="仿宋_GB2312" w:cs="仿宋_GB2312"/>
          <w:color w:val="auto"/>
          <w:sz w:val="32"/>
          <w:szCs w:val="32"/>
          <w:highlight w:val="none"/>
        </w:rPr>
        <w:t>本方案。</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630" w:leftChars="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二、征收依据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lang w:val="en-US" w:eastAsia="zh-CN"/>
        </w:rPr>
        <w:t>依据《中华人民共和国民法典》《国有土地上房屋征收与补偿条例》、住房城乡建设部《关于印发&lt;国有土地上房屋征收评估办法&gt;的通知》《青海省国有土地上房屋征收与补偿条例》《青海省人民政府关于贯彻&lt;国有土地上房屋征收及补偿条例&gt;的实施意见》等规定。</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630" w:leftChars="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三、征收部门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征收主体：同德县人民政府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征收实施部门：同德县房屋征收与补偿中心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被征收人：项目所核查确定的权利人</w:t>
      </w:r>
    </w:p>
    <w:p>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征收范围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同德县原老干部家属院、农行家属院等征收红线范围内的房屋及附着物（具体详见规划红线图）。</w:t>
      </w:r>
    </w:p>
    <w:p>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left="0" w:leftChars="0" w:firstLine="640" w:firstLineChars="20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征收补偿原则</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（一）征收补偿方式为房屋安置或货币补偿，被征收人可自由选择一种补偿方式。同一对象，不重复补偿。对于主体房屋以外的附属及临时性建筑物只进行货币补偿不进行房屋安置。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（二）房屋的建筑面积、用途及性质一般以不动产权证书和不动产登记簿的记载为准；不动产权证书记载的事项与不动产登记簿不一致的，除有证据证明不动产登记簿确有错误外，以不动产登记簿为准。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房屋征收前未经登记的建筑，需县人民政府组织相关部门依法进行调查、认定。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（三）公告发布后，对抢建的建筑物、构筑物及其他附着物一律不登记、不评估、不补偿。</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（四）签订协议前被征收人自行结清房屋的水、电、有线电视等费用，交房前（以交房清单日期为准）房屋所产生的一切费用由被征收人自行承担。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（五）严格遵守国家和省、州关于征收安置工作的相关法律法规及政策规定，坚持公开、公平、公正、透明的原则，保护被征收人的合法权益，确保补偿安置工作合法有序推进。</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六、征收补偿项目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（一）</w:t>
      </w:r>
      <w:r>
        <w:rPr>
          <w:rFonts w:hint="eastAsia" w:ascii="仿宋_GB2312" w:hAnsi="仿宋_GB2312" w:eastAsia="仿宋_GB2312" w:cs="仿宋_GB2312"/>
          <w:b/>
          <w:bCs/>
          <w:color w:val="auto"/>
          <w:sz w:val="32"/>
          <w:szCs w:val="32"/>
          <w:lang w:val="en-US" w:eastAsia="zh-CN"/>
        </w:rPr>
        <w:t>住宅房屋</w:t>
      </w:r>
      <w:r>
        <w:rPr>
          <w:rFonts w:hint="eastAsia" w:ascii="仿宋_GB2312" w:hAnsi="仿宋_GB2312" w:eastAsia="仿宋_GB2312" w:cs="仿宋_GB2312"/>
          <w:b w:val="0"/>
          <w:bCs w:val="0"/>
          <w:color w:val="auto"/>
          <w:sz w:val="32"/>
          <w:szCs w:val="32"/>
          <w:lang w:val="en-US" w:eastAsia="zh-CN"/>
        </w:rPr>
        <w:t>可获得的补偿为：房屋及地上附着物价值补偿、室内自行装修装饰补偿、搬迁费、临时安置费、土地出让金。</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（二）</w:t>
      </w:r>
      <w:r>
        <w:rPr>
          <w:rFonts w:hint="eastAsia" w:ascii="仿宋_GB2312" w:hAnsi="仿宋_GB2312" w:eastAsia="仿宋_GB2312" w:cs="仿宋_GB2312"/>
          <w:b/>
          <w:bCs/>
          <w:color w:val="auto"/>
          <w:sz w:val="32"/>
          <w:szCs w:val="32"/>
          <w:lang w:val="en-US" w:eastAsia="zh-CN"/>
        </w:rPr>
        <w:t>经营性房屋</w:t>
      </w:r>
      <w:r>
        <w:rPr>
          <w:rFonts w:hint="eastAsia" w:ascii="仿宋_GB2312" w:hAnsi="仿宋_GB2312" w:eastAsia="仿宋_GB2312" w:cs="仿宋_GB2312"/>
          <w:b w:val="0"/>
          <w:bCs w:val="0"/>
          <w:color w:val="auto"/>
          <w:sz w:val="32"/>
          <w:szCs w:val="32"/>
          <w:lang w:val="en-US" w:eastAsia="zh-CN"/>
        </w:rPr>
        <w:t>可获得的补偿为：房屋及地上附着物价值补偿、室内自行装修装饰补偿、搬迁费、停产停业损失补偿（限于可提供证明资料的经营主体）或临时安置费、土地出让金。</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val="0"/>
          <w:color w:val="auto"/>
          <w:sz w:val="32"/>
          <w:szCs w:val="32"/>
          <w:lang w:val="en-US"/>
        </w:rPr>
      </w:pPr>
      <w:r>
        <w:rPr>
          <w:rFonts w:hint="eastAsia" w:ascii="黑体" w:hAnsi="黑体" w:eastAsia="黑体" w:cs="黑体"/>
          <w:b w:val="0"/>
          <w:bCs w:val="0"/>
          <w:color w:val="auto"/>
          <w:sz w:val="32"/>
          <w:szCs w:val="32"/>
          <w:lang w:val="en-US" w:eastAsia="zh-CN"/>
        </w:rPr>
        <w:t>七、住宅</w:t>
      </w:r>
      <w:r>
        <w:rPr>
          <w:rFonts w:hint="eastAsia" w:ascii="黑体" w:hAnsi="黑体" w:eastAsia="黑体" w:cs="黑体"/>
          <w:b w:val="0"/>
          <w:bCs w:val="0"/>
          <w:color w:val="auto"/>
          <w:sz w:val="32"/>
          <w:szCs w:val="32"/>
          <w:lang w:val="en-US"/>
        </w:rPr>
        <w:t>房屋与经营性房屋</w:t>
      </w:r>
      <w:r>
        <w:rPr>
          <w:rFonts w:hint="eastAsia" w:ascii="黑体" w:hAnsi="黑体" w:eastAsia="黑体" w:cs="黑体"/>
          <w:b w:val="0"/>
          <w:bCs w:val="0"/>
          <w:color w:val="auto"/>
          <w:sz w:val="32"/>
          <w:szCs w:val="32"/>
          <w:lang w:val="en-US" w:eastAsia="zh-CN"/>
        </w:rPr>
        <w:t>的</w:t>
      </w:r>
      <w:r>
        <w:rPr>
          <w:rFonts w:hint="eastAsia" w:ascii="黑体" w:hAnsi="黑体" w:eastAsia="黑体" w:cs="黑体"/>
          <w:b w:val="0"/>
          <w:bCs w:val="0"/>
          <w:color w:val="auto"/>
          <w:sz w:val="32"/>
          <w:szCs w:val="32"/>
          <w:lang w:val="en-US"/>
        </w:rPr>
        <w:t>认定条件</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rPr>
        <w:t>一</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rPr>
        <w:t>对符合以下三种条件之一的认定为</w:t>
      </w:r>
      <w:r>
        <w:rPr>
          <w:rFonts w:hint="eastAsia" w:ascii="仿宋_GB2312" w:hAnsi="仿宋_GB2312" w:eastAsia="仿宋_GB2312" w:cs="仿宋_GB2312"/>
          <w:color w:val="auto"/>
          <w:sz w:val="32"/>
          <w:szCs w:val="32"/>
          <w:highlight w:val="none"/>
          <w:lang w:val="en-US" w:eastAsia="zh-CN"/>
        </w:rPr>
        <w:t>住宅</w:t>
      </w:r>
      <w:r>
        <w:rPr>
          <w:rFonts w:hint="eastAsia" w:ascii="仿宋_GB2312" w:hAnsi="仿宋_GB2312" w:eastAsia="仿宋_GB2312" w:cs="仿宋_GB2312"/>
          <w:color w:val="auto"/>
          <w:sz w:val="32"/>
          <w:szCs w:val="32"/>
          <w:highlight w:val="none"/>
          <w:lang w:val="en-US"/>
        </w:rPr>
        <w:t>房屋</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1.房屋结构具有梁、板、柱和门窗四大要件的且作为主要房屋正在居住的。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2.现有房屋为砖混、砖木和土木结构的且具有实际居住功能并作为主要房屋正在居住的。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3.土墙彩钢顶、土墙预制板顶、砖墙彩钢顶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砖墙木顶</w:t>
      </w:r>
      <w:r>
        <w:rPr>
          <w:rFonts w:hint="eastAsia" w:ascii="仿宋_GB2312" w:hAnsi="仿宋_GB2312" w:eastAsia="仿宋_GB2312" w:cs="仿宋_GB2312"/>
          <w:color w:val="auto"/>
          <w:sz w:val="32"/>
          <w:szCs w:val="32"/>
          <w:highlight w:val="none"/>
        </w:rPr>
        <w:t>且作为主要房屋正在居住的房屋均视</w:t>
      </w:r>
      <w:r>
        <w:rPr>
          <w:rFonts w:hint="eastAsia" w:ascii="仿宋_GB2312" w:hAnsi="仿宋_GB2312" w:eastAsia="仿宋_GB2312" w:cs="仿宋_GB2312"/>
          <w:color w:val="auto"/>
          <w:sz w:val="32"/>
          <w:szCs w:val="32"/>
          <w:highlight w:val="none"/>
          <w:lang w:val="en-US" w:eastAsia="zh-CN"/>
        </w:rPr>
        <w:t>为</w:t>
      </w:r>
      <w:r>
        <w:rPr>
          <w:rFonts w:hint="eastAsia" w:ascii="仿宋_GB2312" w:hAnsi="仿宋_GB2312" w:eastAsia="仿宋_GB2312" w:cs="仿宋_GB2312"/>
          <w:color w:val="auto"/>
          <w:sz w:val="32"/>
          <w:szCs w:val="32"/>
          <w:highlight w:val="none"/>
        </w:rPr>
        <w:t>住房。</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rPr>
        <w:t>二</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rPr>
        <w:t>对符合下列条件的认定为经营性房屋</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具有房屋权属证明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登记用途为商铺</w:t>
      </w:r>
      <w:r>
        <w:rPr>
          <w:rFonts w:hint="eastAsia" w:ascii="仿宋_GB2312" w:hAnsi="仿宋_GB2312" w:eastAsia="仿宋_GB2312" w:cs="仿宋_GB2312"/>
          <w:color w:val="auto"/>
          <w:sz w:val="32"/>
          <w:szCs w:val="32"/>
          <w:highlight w:val="none"/>
        </w:rPr>
        <w:t>或经有关部门认定为合法建筑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的；</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经营者持有合法、有效的工商营业执照、税务登记证以及其他有关许可证件的</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注册满</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年且正在合法经营的</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值班室、锅炉房等非营业建筑面积不计入经营性房屋建筑面积。</w:t>
      </w:r>
    </w:p>
    <w:p>
      <w:pPr>
        <w:pStyle w:val="8"/>
        <w:keepNext w:val="0"/>
        <w:keepLines w:val="0"/>
        <w:pageBreakBefore w:val="0"/>
        <w:kinsoku/>
        <w:wordWrap/>
        <w:overflowPunct/>
        <w:topLinePunct w:val="0"/>
        <w:autoSpaceDE/>
        <w:autoSpaceDN/>
        <w:bidi w:val="0"/>
        <w:spacing w:line="576" w:lineRule="exact"/>
        <w:ind w:firstLine="640" w:firstLineChars="200"/>
        <w:jc w:val="both"/>
        <w:textAlignment w:val="auto"/>
        <w:rPr>
          <w:rFonts w:hint="eastAsia" w:ascii="黑体" w:hAnsi="黑体" w:eastAsia="黑体" w:cs="黑体"/>
          <w:b w:val="0"/>
          <w:bCs w:val="0"/>
          <w:color w:val="auto"/>
          <w:kern w:val="2"/>
          <w:sz w:val="32"/>
          <w:szCs w:val="32"/>
          <w:lang w:val="en-US" w:eastAsia="zh-CN" w:bidi="bo-CN"/>
        </w:rPr>
      </w:pPr>
      <w:r>
        <w:rPr>
          <w:rFonts w:hint="eastAsia" w:ascii="黑体" w:hAnsi="黑体" w:eastAsia="黑体" w:cs="黑体"/>
          <w:b w:val="0"/>
          <w:bCs w:val="0"/>
          <w:color w:val="auto"/>
          <w:kern w:val="2"/>
          <w:sz w:val="32"/>
          <w:szCs w:val="32"/>
          <w:lang w:val="en-US" w:eastAsia="zh-CN" w:bidi="bo-CN"/>
        </w:rPr>
        <w:t>八、货币补偿</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（一）房屋、地上附着物与室内自行装修装饰补偿</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1.房屋及地上附着物、室内自行装修装饰补偿，以房屋征收决定公告之日为价值评估时点，由具备相应资质的房地产价格评估机构按照类似房地产的市场价格依法评估确定，可移动搬迁物不评估补偿。</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2.被征收人住宅房屋原产权建筑面积低于四十五平方米且只有一套住房的，按四十五平方米予以货币补偿。</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（二）搬迁费</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1.住宅房屋</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按照2600元/户给予补偿。</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2.经营性房屋</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按照经营面积确定，每平方米一次性支付搬迁费20元；超过300平方米的，每户额外支付2600元的办公物品搬迁费。</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以上搬迁费用包含了搬家费、电话移机费、有线电视迁移费等。</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（三）经营性房屋的停产停业损失补偿或临时安置费</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被征收人的房屋为经营性房屋的，原则上给予停产停业损失补偿费；被征收人无法提供所得税票据、在劳动保障部门备案或连续缴纳社保6个月以上的员工人数的，发放临时安置费和停产停业损失补偿费第（3）项。</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1.停产停业损失补偿费</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停产停业损失补偿期限为1个月。</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（1）停产停业期间净利润损失补偿</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停产停业期间净利润损失补偿=月平均净利润×补偿期限（1个月）。月平均净利润按征收决定公告之日前上一年度实际缴纳的所得税、税率推算。</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（2）停产停业期间员工基本生活补助</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停产停业期间员工基本生活补助=员工人数×月生活补助标准×补偿期限（1个月）。员工月生活补助标准参照上一年度青海最低工资标准（2080元）计算。员工数量以征收决定公告之日前6个月企业在劳动保障部门备案或连续缴纳社保6个月以上的人数为准。</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（3）可搬迁设施设备的拆除、运输、安装、调试费用及无法恢复设施设备的残余价值由房地产价格评估机构评估确定。</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2.临时安置费</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临时安置费按照正面临街每平方米30元/月、侧面临街每平方米20元/月、二楼及以上每平方米10元/月发放。临时安置费的发放期限为1个月。</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（四）土地出让金</w:t>
      </w:r>
    </w:p>
    <w:p>
      <w:pPr>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已经缴纳了土地出让金的，按照缴纳金额发票退还剩余年限的土地出让金。</w:t>
      </w:r>
    </w:p>
    <w:p>
      <w:pPr>
        <w:pStyle w:val="8"/>
        <w:keepNext w:val="0"/>
        <w:keepLines w:val="0"/>
        <w:pageBreakBefore w:val="0"/>
        <w:kinsoku/>
        <w:wordWrap/>
        <w:overflowPunct/>
        <w:topLinePunct w:val="0"/>
        <w:autoSpaceDE/>
        <w:autoSpaceDN/>
        <w:bidi w:val="0"/>
        <w:spacing w:line="576" w:lineRule="exact"/>
        <w:ind w:firstLine="640" w:firstLineChars="200"/>
        <w:jc w:val="both"/>
        <w:textAlignment w:val="auto"/>
        <w:rPr>
          <w:rFonts w:hint="eastAsia" w:ascii="黑体" w:hAnsi="黑体" w:eastAsia="黑体" w:cs="黑体"/>
          <w:b w:val="0"/>
          <w:bCs w:val="0"/>
          <w:color w:val="auto"/>
          <w:kern w:val="2"/>
          <w:sz w:val="32"/>
          <w:szCs w:val="32"/>
          <w:lang w:val="en-US" w:bidi="bo-CN"/>
        </w:rPr>
      </w:pPr>
      <w:r>
        <w:rPr>
          <w:rFonts w:hint="eastAsia" w:ascii="黑体" w:hAnsi="黑体" w:eastAsia="黑体" w:cs="黑体"/>
          <w:b w:val="0"/>
          <w:bCs w:val="0"/>
          <w:color w:val="auto"/>
          <w:kern w:val="2"/>
          <w:sz w:val="32"/>
          <w:szCs w:val="32"/>
          <w:lang w:val="en-US" w:bidi="bo-CN"/>
        </w:rPr>
        <w:t>九</w:t>
      </w:r>
      <w:r>
        <w:rPr>
          <w:rFonts w:hint="eastAsia" w:ascii="黑体" w:hAnsi="黑体" w:eastAsia="黑体" w:cs="黑体"/>
          <w:b w:val="0"/>
          <w:bCs w:val="0"/>
          <w:color w:val="auto"/>
          <w:kern w:val="2"/>
          <w:sz w:val="32"/>
          <w:szCs w:val="32"/>
          <w:lang w:val="en-US" w:eastAsia="zh-CN" w:bidi="bo-CN"/>
        </w:rPr>
        <w:t>、</w:t>
      </w:r>
      <w:r>
        <w:rPr>
          <w:rFonts w:hint="eastAsia" w:ascii="黑体" w:hAnsi="黑体" w:eastAsia="黑体" w:cs="黑体"/>
          <w:b w:val="0"/>
          <w:bCs w:val="0"/>
          <w:color w:val="auto"/>
          <w:kern w:val="2"/>
          <w:sz w:val="32"/>
          <w:szCs w:val="32"/>
          <w:lang w:val="en-US" w:bidi="bo-CN"/>
        </w:rPr>
        <w:t>房屋置换</w:t>
      </w:r>
    </w:p>
    <w:p>
      <w:pPr>
        <w:keepNext w:val="0"/>
        <w:keepLines w:val="0"/>
        <w:pageBreakBefore w:val="0"/>
        <w:kinsoku/>
        <w:wordWrap/>
        <w:overflowPunct/>
        <w:topLinePunct w:val="0"/>
        <w:autoSpaceDE/>
        <w:autoSpaceDN/>
        <w:bidi w:val="0"/>
        <w:spacing w:line="576" w:lineRule="exact"/>
        <w:ind w:firstLine="320" w:firstLineChars="100"/>
        <w:textAlignment w:val="auto"/>
        <w:rPr>
          <w:rFonts w:hint="eastAsia" w:ascii="仿宋_GB2312" w:hAnsi="仿宋_GB2312" w:eastAsia="仿宋_GB2312" w:cs="仿宋_GB2312"/>
          <w:color w:val="auto"/>
          <w:kern w:val="2"/>
          <w:sz w:val="32"/>
          <w:szCs w:val="32"/>
          <w:highlight w:val="none"/>
          <w:lang w:val="en-US" w:eastAsia="zh-CN" w:bidi="bo-CN"/>
        </w:rPr>
      </w:pPr>
      <w:r>
        <w:rPr>
          <w:rFonts w:hint="eastAsia" w:ascii="仿宋_GB2312" w:hAnsi="仿宋_GB2312" w:eastAsia="仿宋_GB2312" w:cs="仿宋_GB2312"/>
          <w:color w:val="auto"/>
          <w:kern w:val="2"/>
          <w:sz w:val="32"/>
          <w:szCs w:val="32"/>
          <w:highlight w:val="none"/>
          <w:lang w:bidi="bo-CN"/>
        </w:rPr>
        <w:t>（</w:t>
      </w:r>
      <w:r>
        <w:rPr>
          <w:rFonts w:hint="eastAsia" w:ascii="仿宋_GB2312" w:hAnsi="仿宋_GB2312" w:eastAsia="仿宋_GB2312" w:cs="仿宋_GB2312"/>
          <w:color w:val="auto"/>
          <w:kern w:val="2"/>
          <w:sz w:val="32"/>
          <w:szCs w:val="32"/>
          <w:highlight w:val="none"/>
          <w:lang w:val="en-US" w:bidi="bo-CN"/>
        </w:rPr>
        <w:t>一</w:t>
      </w:r>
      <w:r>
        <w:rPr>
          <w:rFonts w:hint="eastAsia" w:ascii="仿宋_GB2312" w:hAnsi="仿宋_GB2312" w:eastAsia="仿宋_GB2312" w:cs="仿宋_GB2312"/>
          <w:color w:val="auto"/>
          <w:kern w:val="2"/>
          <w:sz w:val="32"/>
          <w:szCs w:val="32"/>
          <w:highlight w:val="none"/>
          <w:lang w:bidi="bo-CN"/>
        </w:rPr>
        <w:t>）</w:t>
      </w:r>
      <w:r>
        <w:rPr>
          <w:rFonts w:hint="eastAsia" w:ascii="仿宋_GB2312" w:hAnsi="仿宋_GB2312" w:eastAsia="仿宋_GB2312" w:cs="仿宋_GB2312"/>
          <w:color w:val="auto"/>
          <w:kern w:val="2"/>
          <w:sz w:val="32"/>
          <w:szCs w:val="32"/>
          <w:highlight w:val="none"/>
          <w:lang w:val="en-US" w:eastAsia="zh-CN" w:bidi="bo-CN"/>
        </w:rPr>
        <w:t>住宅房屋置换标准</w:t>
      </w:r>
    </w:p>
    <w:p>
      <w:pPr>
        <w:keepNext w:val="0"/>
        <w:keepLines w:val="0"/>
        <w:pageBreakBefore w:val="0"/>
        <w:kinsoku/>
        <w:wordWrap/>
        <w:overflowPunct/>
        <w:topLinePunct w:val="0"/>
        <w:autoSpaceDE/>
        <w:autoSpaceDN/>
        <w:bidi w:val="0"/>
        <w:spacing w:line="576" w:lineRule="exact"/>
        <w:ind w:firstLine="602"/>
        <w:textAlignment w:val="auto"/>
        <w:rPr>
          <w:rFonts w:hint="eastAsia" w:ascii="仿宋_GB2312" w:hAnsi="仿宋_GB2312" w:eastAsia="仿宋_GB2312" w:cs="仿宋_GB2312"/>
          <w:color w:val="auto"/>
          <w:kern w:val="2"/>
          <w:sz w:val="32"/>
          <w:szCs w:val="32"/>
          <w:highlight w:val="none"/>
          <w:lang w:val="en-US" w:eastAsia="zh-CN" w:bidi="bo-CN"/>
        </w:rPr>
      </w:pPr>
      <w:r>
        <w:rPr>
          <w:rFonts w:hint="eastAsia" w:ascii="仿宋_GB2312" w:hAnsi="仿宋_GB2312" w:eastAsia="仿宋_GB2312" w:cs="仿宋_GB2312"/>
          <w:color w:val="auto"/>
          <w:kern w:val="2"/>
          <w:sz w:val="32"/>
          <w:szCs w:val="32"/>
          <w:highlight w:val="none"/>
          <w:lang w:val="en-US" w:eastAsia="zh-CN" w:bidi="bo-CN"/>
        </w:rPr>
        <w:t>1.置换比例</w:t>
      </w:r>
    </w:p>
    <w:p>
      <w:pPr>
        <w:keepNext w:val="0"/>
        <w:keepLines w:val="0"/>
        <w:pageBreakBefore w:val="0"/>
        <w:kinsoku/>
        <w:wordWrap/>
        <w:overflowPunct/>
        <w:topLinePunct w:val="0"/>
        <w:autoSpaceDE/>
        <w:autoSpaceDN/>
        <w:bidi w:val="0"/>
        <w:spacing w:line="576" w:lineRule="exact"/>
        <w:ind w:firstLine="602"/>
        <w:textAlignment w:val="auto"/>
        <w:rPr>
          <w:rFonts w:hint="eastAsia" w:ascii="仿宋_GB2312" w:hAnsi="仿宋_GB2312" w:eastAsia="仿宋_GB2312" w:cs="仿宋_GB2312"/>
          <w:color w:val="auto"/>
          <w:kern w:val="2"/>
          <w:sz w:val="32"/>
          <w:szCs w:val="32"/>
          <w:highlight w:val="none"/>
          <w:lang w:bidi="bo-CN"/>
        </w:rPr>
      </w:pPr>
      <w:r>
        <w:rPr>
          <w:rFonts w:hint="eastAsia" w:ascii="仿宋_GB2312" w:hAnsi="仿宋_GB2312" w:eastAsia="仿宋_GB2312" w:cs="仿宋_GB2312"/>
          <w:color w:val="auto"/>
          <w:kern w:val="2"/>
          <w:sz w:val="32"/>
          <w:szCs w:val="32"/>
          <w:highlight w:val="none"/>
          <w:lang w:val="en-US" w:eastAsia="zh-CN" w:bidi="bo-CN"/>
        </w:rPr>
        <w:t>（1）对于砖墙</w:t>
      </w:r>
      <w:r>
        <w:rPr>
          <w:rFonts w:hint="eastAsia" w:ascii="仿宋_GB2312" w:hAnsi="仿宋_GB2312" w:eastAsia="仿宋_GB2312" w:cs="仿宋_GB2312"/>
          <w:b w:val="0"/>
          <w:bCs w:val="0"/>
          <w:color w:val="auto"/>
          <w:kern w:val="2"/>
          <w:sz w:val="32"/>
          <w:szCs w:val="32"/>
          <w:highlight w:val="none"/>
          <w:lang w:val="en-US" w:eastAsia="zh-CN" w:bidi="bo-CN"/>
        </w:rPr>
        <w:t>框架</w:t>
      </w:r>
      <w:r>
        <w:rPr>
          <w:rFonts w:hint="eastAsia" w:ascii="仿宋_GB2312" w:hAnsi="仿宋_GB2312" w:eastAsia="仿宋_GB2312" w:cs="仿宋_GB2312"/>
          <w:color w:val="auto"/>
          <w:kern w:val="2"/>
          <w:sz w:val="32"/>
          <w:szCs w:val="32"/>
          <w:highlight w:val="none"/>
          <w:lang w:val="en-US" w:eastAsia="zh-CN" w:bidi="bo-CN"/>
        </w:rPr>
        <w:t>结构现浇（钢混）的房屋，</w:t>
      </w:r>
      <w:r>
        <w:rPr>
          <w:rFonts w:hint="eastAsia" w:ascii="仿宋_GB2312" w:hAnsi="仿宋_GB2312" w:eastAsia="仿宋_GB2312" w:cs="仿宋_GB2312"/>
          <w:color w:val="auto"/>
          <w:sz w:val="32"/>
          <w:szCs w:val="32"/>
          <w:highlight w:val="none"/>
          <w:lang w:val="en-US" w:eastAsia="zh-CN"/>
        </w:rPr>
        <w:t>有房产证的，置换比例为1：1.2；无房产证的，置换比例为1:1</w:t>
      </w:r>
      <w:r>
        <w:rPr>
          <w:rFonts w:hint="eastAsia" w:ascii="仿宋_GB2312" w:hAnsi="仿宋_GB2312" w:eastAsia="仿宋_GB2312" w:cs="仿宋_GB2312"/>
          <w:color w:val="auto"/>
          <w:kern w:val="2"/>
          <w:sz w:val="32"/>
          <w:szCs w:val="32"/>
          <w:highlight w:val="none"/>
          <w:lang w:bidi="bo-CN"/>
        </w:rPr>
        <w:t>。</w:t>
      </w:r>
    </w:p>
    <w:p>
      <w:pPr>
        <w:keepNext w:val="0"/>
        <w:keepLines w:val="0"/>
        <w:pageBreakBefore w:val="0"/>
        <w:kinsoku/>
        <w:wordWrap/>
        <w:overflowPunct/>
        <w:topLinePunct w:val="0"/>
        <w:autoSpaceDE/>
        <w:autoSpaceDN/>
        <w:bidi w:val="0"/>
        <w:spacing w:line="576" w:lineRule="exact"/>
        <w:ind w:firstLine="602"/>
        <w:textAlignment w:val="auto"/>
        <w:rPr>
          <w:rFonts w:hint="eastAsia" w:ascii="仿宋_GB2312" w:hAnsi="仿宋_GB2312" w:eastAsia="仿宋_GB2312" w:cs="仿宋_GB2312"/>
          <w:color w:val="auto"/>
          <w:kern w:val="2"/>
          <w:sz w:val="32"/>
          <w:szCs w:val="32"/>
          <w:highlight w:val="none"/>
          <w:lang w:val="en-US" w:bidi="bo-CN"/>
        </w:rPr>
      </w:pPr>
      <w:r>
        <w:rPr>
          <w:rFonts w:hint="eastAsia" w:ascii="仿宋_GB2312" w:hAnsi="仿宋_GB2312" w:eastAsia="仿宋_GB2312" w:cs="仿宋_GB2312"/>
          <w:color w:val="auto"/>
          <w:kern w:val="2"/>
          <w:sz w:val="32"/>
          <w:szCs w:val="32"/>
          <w:highlight w:val="none"/>
          <w:lang w:eastAsia="zh-CN" w:bidi="bo-CN"/>
        </w:rPr>
        <w:t>（</w:t>
      </w:r>
      <w:r>
        <w:rPr>
          <w:rFonts w:hint="eastAsia" w:ascii="仿宋_GB2312" w:hAnsi="仿宋_GB2312" w:eastAsia="仿宋_GB2312" w:cs="仿宋_GB2312"/>
          <w:color w:val="auto"/>
          <w:kern w:val="2"/>
          <w:sz w:val="32"/>
          <w:szCs w:val="32"/>
          <w:highlight w:val="none"/>
          <w:lang w:val="en-US" w:eastAsia="zh-CN" w:bidi="bo-CN"/>
        </w:rPr>
        <w:t>2）对于砖墙预制板结构（砖混）的房屋，</w:t>
      </w:r>
      <w:r>
        <w:rPr>
          <w:rFonts w:hint="eastAsia" w:ascii="仿宋_GB2312" w:hAnsi="仿宋_GB2312" w:eastAsia="仿宋_GB2312" w:cs="仿宋_GB2312"/>
          <w:color w:val="auto"/>
          <w:sz w:val="32"/>
          <w:szCs w:val="32"/>
          <w:highlight w:val="none"/>
          <w:lang w:val="en-US" w:eastAsia="zh-CN"/>
        </w:rPr>
        <w:t>有房产证的，置换比例为1：1.1；无房产证的，置换比例</w:t>
      </w:r>
      <w:r>
        <w:rPr>
          <w:rFonts w:hint="eastAsia" w:ascii="仿宋_GB2312" w:hAnsi="仿宋_GB2312" w:eastAsia="仿宋_GB2312" w:cs="仿宋_GB2312"/>
          <w:color w:val="auto"/>
          <w:kern w:val="2"/>
          <w:sz w:val="32"/>
          <w:szCs w:val="32"/>
          <w:highlight w:val="none"/>
          <w:lang w:val="en-US" w:eastAsia="zh-CN" w:bidi="bo-CN"/>
        </w:rPr>
        <w:t>为1:1</w:t>
      </w:r>
      <w:r>
        <w:rPr>
          <w:rFonts w:hint="eastAsia" w:ascii="仿宋_GB2312" w:hAnsi="仿宋_GB2312" w:eastAsia="仿宋_GB2312" w:cs="仿宋_GB2312"/>
          <w:color w:val="auto"/>
          <w:kern w:val="2"/>
          <w:sz w:val="32"/>
          <w:szCs w:val="32"/>
          <w:highlight w:val="none"/>
          <w:lang w:val="en-US" w:bidi="bo-CN"/>
        </w:rPr>
        <w:t>。</w:t>
      </w:r>
    </w:p>
    <w:p>
      <w:pPr>
        <w:keepNext w:val="0"/>
        <w:keepLines w:val="0"/>
        <w:pageBreakBefore w:val="0"/>
        <w:kinsoku/>
        <w:wordWrap/>
        <w:overflowPunct/>
        <w:topLinePunct w:val="0"/>
        <w:autoSpaceDE/>
        <w:autoSpaceDN/>
        <w:bidi w:val="0"/>
        <w:spacing w:line="576" w:lineRule="exact"/>
        <w:ind w:firstLine="602"/>
        <w:textAlignment w:val="auto"/>
        <w:rPr>
          <w:rFonts w:hint="eastAsia" w:ascii="仿宋_GB2312" w:hAnsi="仿宋_GB2312" w:eastAsia="仿宋_GB2312" w:cs="仿宋_GB2312"/>
          <w:color w:val="auto"/>
          <w:kern w:val="2"/>
          <w:sz w:val="32"/>
          <w:szCs w:val="32"/>
          <w:highlight w:val="none"/>
          <w:lang w:val="en-US" w:bidi="bo-CN"/>
        </w:rPr>
      </w:pPr>
      <w:r>
        <w:rPr>
          <w:rFonts w:hint="eastAsia" w:ascii="仿宋_GB2312" w:hAnsi="仿宋_GB2312" w:eastAsia="仿宋_GB2312" w:cs="仿宋_GB2312"/>
          <w:color w:val="auto"/>
          <w:kern w:val="2"/>
          <w:sz w:val="32"/>
          <w:szCs w:val="32"/>
          <w:highlight w:val="none"/>
          <w:lang w:eastAsia="zh-CN" w:bidi="bo-CN"/>
        </w:rPr>
        <w:t>（</w:t>
      </w:r>
      <w:r>
        <w:rPr>
          <w:rFonts w:hint="eastAsia" w:ascii="仿宋_GB2312" w:hAnsi="仿宋_GB2312" w:eastAsia="仿宋_GB2312" w:cs="仿宋_GB2312"/>
          <w:color w:val="auto"/>
          <w:kern w:val="2"/>
          <w:sz w:val="32"/>
          <w:szCs w:val="32"/>
          <w:highlight w:val="none"/>
          <w:lang w:val="en-US" w:eastAsia="zh-CN" w:bidi="bo-CN"/>
        </w:rPr>
        <w:t>3）对于砖墙木顶结构（砖木）的房屋，</w:t>
      </w:r>
      <w:r>
        <w:rPr>
          <w:rFonts w:hint="eastAsia" w:ascii="仿宋_GB2312" w:hAnsi="仿宋_GB2312" w:eastAsia="仿宋_GB2312" w:cs="仿宋_GB2312"/>
          <w:color w:val="auto"/>
          <w:sz w:val="32"/>
          <w:szCs w:val="32"/>
          <w:highlight w:val="none"/>
          <w:lang w:val="en-US" w:eastAsia="zh-CN"/>
        </w:rPr>
        <w:t>有房产证的，置换比例为1：1，无房产证的，置换比例</w:t>
      </w:r>
      <w:r>
        <w:rPr>
          <w:rFonts w:hint="eastAsia" w:ascii="仿宋_GB2312" w:hAnsi="仿宋_GB2312" w:eastAsia="仿宋_GB2312" w:cs="仿宋_GB2312"/>
          <w:color w:val="auto"/>
          <w:kern w:val="2"/>
          <w:sz w:val="32"/>
          <w:szCs w:val="32"/>
          <w:highlight w:val="none"/>
          <w:lang w:val="en-US" w:eastAsia="zh-CN" w:bidi="bo-CN"/>
        </w:rPr>
        <w:t>为1:0.9</w:t>
      </w:r>
      <w:r>
        <w:rPr>
          <w:rFonts w:hint="eastAsia" w:ascii="仿宋_GB2312" w:hAnsi="仿宋_GB2312" w:eastAsia="仿宋_GB2312" w:cs="仿宋_GB2312"/>
          <w:color w:val="auto"/>
          <w:kern w:val="2"/>
          <w:sz w:val="32"/>
          <w:szCs w:val="32"/>
          <w:highlight w:val="none"/>
          <w:lang w:val="en-US" w:bidi="bo-CN"/>
        </w:rPr>
        <w:t>。</w:t>
      </w:r>
    </w:p>
    <w:p>
      <w:pPr>
        <w:keepNext w:val="0"/>
        <w:keepLines w:val="0"/>
        <w:pageBreakBefore w:val="0"/>
        <w:kinsoku/>
        <w:wordWrap/>
        <w:overflowPunct/>
        <w:topLinePunct w:val="0"/>
        <w:autoSpaceDE/>
        <w:autoSpaceDN/>
        <w:bidi w:val="0"/>
        <w:spacing w:line="576" w:lineRule="exact"/>
        <w:ind w:firstLine="602" w:firstLineChars="0"/>
        <w:textAlignment w:val="auto"/>
        <w:rPr>
          <w:rFonts w:hint="eastAsia" w:ascii="仿宋_GB2312" w:hAnsi="仿宋_GB2312" w:eastAsia="仿宋_GB2312" w:cs="仿宋_GB2312"/>
          <w:color w:val="auto"/>
          <w:kern w:val="2"/>
          <w:sz w:val="32"/>
          <w:szCs w:val="32"/>
          <w:highlight w:val="none"/>
          <w:lang w:val="en-US" w:bidi="bo-CN"/>
        </w:rPr>
      </w:pPr>
      <w:r>
        <w:rPr>
          <w:rFonts w:hint="eastAsia" w:ascii="仿宋_GB2312" w:hAnsi="仿宋_GB2312" w:eastAsia="仿宋_GB2312" w:cs="仿宋_GB2312"/>
          <w:color w:val="auto"/>
          <w:kern w:val="2"/>
          <w:sz w:val="32"/>
          <w:szCs w:val="32"/>
          <w:highlight w:val="none"/>
          <w:lang w:val="en-US" w:eastAsia="zh-CN" w:bidi="bo-CN"/>
        </w:rPr>
        <w:t>（4）对于土木结构的房屋，</w:t>
      </w:r>
      <w:r>
        <w:rPr>
          <w:rFonts w:hint="eastAsia" w:ascii="仿宋_GB2312" w:hAnsi="仿宋_GB2312" w:eastAsia="仿宋_GB2312" w:cs="仿宋_GB2312"/>
          <w:color w:val="auto"/>
          <w:sz w:val="32"/>
          <w:szCs w:val="32"/>
          <w:highlight w:val="none"/>
          <w:lang w:val="en-US" w:eastAsia="zh-CN"/>
        </w:rPr>
        <w:t>有房产证的，置换比例为1：0.9；无房产证的，置换比例</w:t>
      </w:r>
      <w:r>
        <w:rPr>
          <w:rFonts w:hint="eastAsia" w:ascii="仿宋_GB2312" w:hAnsi="仿宋_GB2312" w:eastAsia="仿宋_GB2312" w:cs="仿宋_GB2312"/>
          <w:color w:val="auto"/>
          <w:kern w:val="2"/>
          <w:sz w:val="32"/>
          <w:szCs w:val="32"/>
          <w:highlight w:val="none"/>
          <w:lang w:val="en-US" w:eastAsia="zh-CN" w:bidi="bo-CN"/>
        </w:rPr>
        <w:t>为1:0.8</w:t>
      </w:r>
      <w:r>
        <w:rPr>
          <w:rFonts w:hint="eastAsia" w:ascii="仿宋_GB2312" w:hAnsi="仿宋_GB2312" w:eastAsia="仿宋_GB2312" w:cs="仿宋_GB2312"/>
          <w:color w:val="auto"/>
          <w:kern w:val="2"/>
          <w:sz w:val="32"/>
          <w:szCs w:val="32"/>
          <w:highlight w:val="none"/>
          <w:lang w:val="en-US" w:bidi="bo-CN"/>
        </w:rPr>
        <w:t>。</w:t>
      </w:r>
    </w:p>
    <w:p>
      <w:pPr>
        <w:keepNext w:val="0"/>
        <w:keepLines w:val="0"/>
        <w:pageBreakBefore w:val="0"/>
        <w:kinsoku/>
        <w:wordWrap/>
        <w:overflowPunct/>
        <w:topLinePunct w:val="0"/>
        <w:autoSpaceDE/>
        <w:autoSpaceDN/>
        <w:bidi w:val="0"/>
        <w:spacing w:line="576" w:lineRule="exact"/>
        <w:ind w:firstLine="602"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对于房屋主体以外的</w:t>
      </w:r>
      <w:r>
        <w:rPr>
          <w:rFonts w:hint="eastAsia" w:ascii="仿宋_GB2312" w:hAnsi="仿宋_GB2312" w:eastAsia="仿宋_GB2312" w:cs="仿宋_GB2312"/>
          <w:color w:val="auto"/>
          <w:sz w:val="32"/>
          <w:szCs w:val="32"/>
          <w:highlight w:val="none"/>
          <w:lang w:val="en-US" w:eastAsia="zh-CN"/>
        </w:rPr>
        <w:t>附属及</w:t>
      </w:r>
      <w:r>
        <w:rPr>
          <w:rFonts w:hint="eastAsia" w:ascii="仿宋_GB2312" w:hAnsi="仿宋_GB2312" w:eastAsia="仿宋_GB2312" w:cs="仿宋_GB2312"/>
          <w:color w:val="auto"/>
          <w:sz w:val="32"/>
          <w:szCs w:val="32"/>
          <w:highlight w:val="none"/>
        </w:rPr>
        <w:t>临时性建筑物不进行置换，但可按照评估价进行货币</w:t>
      </w:r>
      <w:r>
        <w:rPr>
          <w:rFonts w:hint="eastAsia" w:ascii="仿宋_GB2312" w:hAnsi="仿宋_GB2312" w:eastAsia="仿宋_GB2312" w:cs="仿宋_GB2312"/>
          <w:color w:val="auto"/>
          <w:sz w:val="32"/>
          <w:szCs w:val="32"/>
          <w:highlight w:val="none"/>
          <w:lang w:val="en-US"/>
        </w:rPr>
        <w:t>补偿</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autoSpaceDN/>
        <w:bidi w:val="0"/>
        <w:spacing w:line="576" w:lineRule="exact"/>
        <w:ind w:firstLine="602"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（6）被征收人住宅房屋原产权建筑面积低于四十五平方米且只有一套住房的，按四十五平方米予以产权调换；超过四十五平方米的，按照第2项置换面积补交差价。</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rPr>
        <w:t>安置</w:t>
      </w:r>
      <w:r>
        <w:rPr>
          <w:rFonts w:hint="eastAsia" w:ascii="仿宋_GB2312" w:hAnsi="仿宋_GB2312" w:eastAsia="仿宋_GB2312" w:cs="仿宋_GB2312"/>
          <w:color w:val="auto"/>
          <w:sz w:val="32"/>
          <w:szCs w:val="32"/>
          <w:highlight w:val="none"/>
          <w:lang w:val="en-US" w:eastAsia="zh-CN"/>
        </w:rPr>
        <w:t>房置</w:t>
      </w:r>
      <w:r>
        <w:rPr>
          <w:rFonts w:hint="eastAsia" w:ascii="仿宋_GB2312" w:hAnsi="仿宋_GB2312" w:eastAsia="仿宋_GB2312" w:cs="仿宋_GB2312"/>
          <w:color w:val="auto"/>
          <w:sz w:val="32"/>
          <w:szCs w:val="32"/>
          <w:highlight w:val="none"/>
          <w:lang w:val="en-US"/>
        </w:rPr>
        <w:t>换面积差价补偿</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eastAsia="zh-CN"/>
        </w:rPr>
        <w:t>选择产权调换的，按第九条房屋产权调换比例标准以贴近面积户型选择调换房屋，安置房超出置换面积10m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范围内的，按照成本价3650元补交差价，10m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以外的面积，按照备案价优惠20%补交差价；安置面积少于置换面积的，按照评估价给予补偿。</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3.安置房的</w:t>
      </w:r>
      <w:r>
        <w:rPr>
          <w:rFonts w:hint="eastAsia" w:ascii="仿宋_GB2312" w:hAnsi="仿宋_GB2312" w:eastAsia="仿宋_GB2312" w:cs="仿宋_GB2312"/>
          <w:color w:val="auto"/>
          <w:sz w:val="32"/>
          <w:szCs w:val="32"/>
          <w:highlight w:val="none"/>
        </w:rPr>
        <w:t>安置</w:t>
      </w:r>
      <w:r>
        <w:rPr>
          <w:rFonts w:hint="eastAsia" w:ascii="仿宋_GB2312" w:hAnsi="仿宋_GB2312" w:eastAsia="仿宋_GB2312" w:cs="仿宋_GB2312"/>
          <w:color w:val="auto"/>
          <w:sz w:val="32"/>
          <w:szCs w:val="32"/>
          <w:highlight w:val="none"/>
          <w:lang w:val="en-US" w:eastAsia="zh-CN"/>
        </w:rPr>
        <w:t>点及选房顺序</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none"/>
          <w:lang w:val="en-US" w:eastAsia="zh-CN"/>
        </w:rPr>
        <w:t>（1）安置房在征收范围内原址回迁，安置户型为80、110、135m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左右三种，临街安置楼层为二楼及以上；</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eastAsia="zh-CN"/>
        </w:rPr>
        <w:t>可根据原房屋置换后的面积选择贴近面积的安置房。</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rPr>
        <w:t>按照签订协议时间顺序进行选房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同时按协议规定期限腾空搬迁房屋。未按协议规定期限腾空搬迁的，所选房号无效。</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产权置换的房屋，</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eastAsia="zh-CN"/>
        </w:rPr>
        <w:t>按照规定缴纳土地出让金后办理产权登记。征收实施部门</w:t>
      </w:r>
      <w:r>
        <w:rPr>
          <w:rFonts w:hint="eastAsia" w:ascii="仿宋_GB2312" w:hAnsi="仿宋_GB2312" w:eastAsia="仿宋_GB2312" w:cs="仿宋_GB2312"/>
          <w:color w:val="auto"/>
          <w:sz w:val="32"/>
          <w:szCs w:val="32"/>
          <w:highlight w:val="none"/>
        </w:rPr>
        <w:t>可以协助</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rPr>
        <w:t>办理安置房不动产权证书</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二）经营性房屋置换标准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1.置换比例</w:t>
      </w:r>
    </w:p>
    <w:p>
      <w:pPr>
        <w:keepNext w:val="0"/>
        <w:keepLines w:val="0"/>
        <w:pageBreakBefore w:val="0"/>
        <w:kinsoku/>
        <w:wordWrap/>
        <w:overflowPunct/>
        <w:topLinePunct w:val="0"/>
        <w:autoSpaceDE/>
        <w:autoSpaceDN/>
        <w:bidi w:val="0"/>
        <w:spacing w:line="576" w:lineRule="exact"/>
        <w:ind w:firstLine="602"/>
        <w:textAlignment w:val="auto"/>
        <w:rPr>
          <w:rFonts w:hint="eastAsia" w:ascii="仿宋_GB2312" w:hAnsi="仿宋_GB2312" w:eastAsia="仿宋_GB2312" w:cs="仿宋_GB2312"/>
          <w:color w:val="auto"/>
          <w:kern w:val="2"/>
          <w:sz w:val="32"/>
          <w:szCs w:val="32"/>
          <w:highlight w:val="none"/>
          <w:lang w:bidi="bo-CN"/>
        </w:rPr>
      </w:pPr>
      <w:r>
        <w:rPr>
          <w:rFonts w:hint="eastAsia" w:ascii="仿宋_GB2312" w:hAnsi="仿宋_GB2312" w:eastAsia="仿宋_GB2312" w:cs="仿宋_GB2312"/>
          <w:color w:val="auto"/>
          <w:kern w:val="2"/>
          <w:sz w:val="32"/>
          <w:szCs w:val="32"/>
          <w:highlight w:val="none"/>
          <w:lang w:val="en-US" w:eastAsia="zh-CN" w:bidi="bo-CN"/>
        </w:rPr>
        <w:t>（1）对于有证房屋按照</w:t>
      </w:r>
      <w:r>
        <w:rPr>
          <w:rFonts w:hint="eastAsia" w:ascii="仿宋_GB2312" w:hAnsi="仿宋_GB2312" w:eastAsia="仿宋_GB2312" w:cs="仿宋_GB2312"/>
          <w:color w:val="auto"/>
          <w:sz w:val="32"/>
          <w:szCs w:val="32"/>
          <w:highlight w:val="none"/>
          <w:lang w:val="en-US" w:eastAsia="zh-CN"/>
        </w:rPr>
        <w:t>1：1，无证房屋1:0.9的置换比例回迁至相应位置</w:t>
      </w:r>
      <w:r>
        <w:rPr>
          <w:rFonts w:hint="eastAsia" w:ascii="仿宋_GB2312" w:hAnsi="仿宋_GB2312" w:eastAsia="仿宋_GB2312" w:cs="仿宋_GB2312"/>
          <w:color w:val="auto"/>
          <w:kern w:val="2"/>
          <w:sz w:val="32"/>
          <w:szCs w:val="32"/>
          <w:highlight w:val="none"/>
          <w:lang w:bidi="bo-CN"/>
        </w:rPr>
        <w:t>。</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eastAsia="zh-CN" w:bidi="bo-CN"/>
        </w:rPr>
        <w:t>（</w:t>
      </w:r>
      <w:r>
        <w:rPr>
          <w:rFonts w:hint="eastAsia" w:ascii="仿宋_GB2312" w:hAnsi="仿宋_GB2312" w:eastAsia="仿宋_GB2312" w:cs="仿宋_GB2312"/>
          <w:color w:val="auto"/>
          <w:kern w:val="2"/>
          <w:sz w:val="32"/>
          <w:szCs w:val="32"/>
          <w:highlight w:val="none"/>
          <w:lang w:val="en-US" w:eastAsia="zh-CN" w:bidi="bo-CN"/>
        </w:rPr>
        <w:t>2）</w:t>
      </w:r>
      <w:r>
        <w:rPr>
          <w:rFonts w:hint="eastAsia" w:ascii="仿宋_GB2312" w:hAnsi="仿宋_GB2312" w:eastAsia="仿宋_GB2312" w:cs="仿宋_GB2312"/>
          <w:color w:val="auto"/>
          <w:sz w:val="32"/>
          <w:szCs w:val="32"/>
          <w:highlight w:val="none"/>
        </w:rPr>
        <w:t>对于房屋主体以外的</w:t>
      </w:r>
      <w:r>
        <w:rPr>
          <w:rFonts w:hint="eastAsia" w:ascii="仿宋_GB2312" w:hAnsi="仿宋_GB2312" w:eastAsia="仿宋_GB2312" w:cs="仿宋_GB2312"/>
          <w:color w:val="auto"/>
          <w:sz w:val="32"/>
          <w:szCs w:val="32"/>
          <w:highlight w:val="none"/>
          <w:lang w:val="en-US" w:eastAsia="zh-CN"/>
        </w:rPr>
        <w:t>附属及</w:t>
      </w:r>
      <w:r>
        <w:rPr>
          <w:rFonts w:hint="eastAsia" w:ascii="仿宋_GB2312" w:hAnsi="仿宋_GB2312" w:eastAsia="仿宋_GB2312" w:cs="仿宋_GB2312"/>
          <w:color w:val="auto"/>
          <w:sz w:val="32"/>
          <w:szCs w:val="32"/>
          <w:highlight w:val="none"/>
        </w:rPr>
        <w:t>临时性建筑物不进行置换，但可按照评估价进行货币</w:t>
      </w:r>
      <w:r>
        <w:rPr>
          <w:rFonts w:hint="eastAsia" w:ascii="仿宋_GB2312" w:hAnsi="仿宋_GB2312" w:eastAsia="仿宋_GB2312" w:cs="仿宋_GB2312"/>
          <w:color w:val="auto"/>
          <w:sz w:val="32"/>
          <w:szCs w:val="32"/>
          <w:highlight w:val="none"/>
          <w:lang w:val="en-US"/>
        </w:rPr>
        <w:t>补偿</w:t>
      </w:r>
      <w:r>
        <w:rPr>
          <w:rFonts w:hint="eastAsia" w:ascii="仿宋_GB2312" w:hAnsi="仿宋_GB2312" w:eastAsia="仿宋_GB2312" w:cs="仿宋_GB2312"/>
          <w:color w:val="auto"/>
          <w:sz w:val="32"/>
          <w:szCs w:val="32"/>
          <w:highlight w:val="none"/>
        </w:rPr>
        <w:t>。</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rPr>
        <w:t>安置房置换面积差价补偿</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eastAsia="zh-CN"/>
        </w:rPr>
        <w:t>选择产调换的，按第九条房屋产权置换比例标准以贴近面积户型选择调换房屋，安置房超出置换面积5m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范围内的，按照成本价3650元补交差价，5m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以外的面积，按照备案价优惠20%补交差价；安置面积少于置换面积的，按照评估价给予补偿。</w:t>
      </w:r>
    </w:p>
    <w:p>
      <w:pPr>
        <w:keepNext w:val="0"/>
        <w:keepLines w:val="0"/>
        <w:pageBreakBefore w:val="0"/>
        <w:numPr>
          <w:ilvl w:val="-1"/>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3.安置房的安置点</w:t>
      </w:r>
    </w:p>
    <w:p>
      <w:pPr>
        <w:keepNext w:val="0"/>
        <w:keepLines w:val="0"/>
        <w:pageBreakBefore w:val="0"/>
        <w:numPr>
          <w:ilvl w:val="-1"/>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安置房在征收范围内原址回迁。</w:t>
      </w:r>
    </w:p>
    <w:p>
      <w:pPr>
        <w:keepNext w:val="0"/>
        <w:keepLines w:val="0"/>
        <w:pageBreakBefore w:val="0"/>
        <w:numPr>
          <w:ilvl w:val="-1"/>
          <w:numId w:val="0"/>
        </w:numPr>
        <w:kinsoku/>
        <w:wordWrap/>
        <w:overflowPunct/>
        <w:topLinePunct w:val="0"/>
        <w:autoSpaceDE/>
        <w:autoSpaceDN/>
        <w:bidi w:val="0"/>
        <w:spacing w:line="576" w:lineRule="exact"/>
        <w:ind w:left="638" w:leftChars="304" w:firstLine="0" w:firstLineChars="0"/>
        <w:textAlignment w:val="auto"/>
        <w:rPr>
          <w:rFonts w:hint="eastAsia" w:ascii="仿宋_GB2312" w:hAnsi="仿宋_GB2312" w:eastAsia="仿宋_GB2312" w:cs="仿宋_GB2312"/>
          <w:color w:val="auto"/>
          <w:kern w:val="2"/>
          <w:sz w:val="32"/>
          <w:szCs w:val="32"/>
          <w:highlight w:val="none"/>
          <w:lang w:val="en-US" w:eastAsia="zh-CN" w:bidi="bo-CN"/>
        </w:rPr>
      </w:pPr>
      <w:r>
        <w:rPr>
          <w:rFonts w:hint="eastAsia" w:ascii="仿宋_GB2312" w:hAnsi="仿宋_GB2312" w:eastAsia="仿宋_GB2312" w:cs="仿宋_GB2312"/>
          <w:color w:val="auto"/>
          <w:kern w:val="2"/>
          <w:sz w:val="32"/>
          <w:szCs w:val="32"/>
          <w:highlight w:val="none"/>
          <w:lang w:val="en-US" w:eastAsia="zh-CN" w:bidi="bo-CN"/>
        </w:rPr>
        <w:t>（三）搬迁费</w:t>
      </w:r>
      <w:r>
        <w:rPr>
          <w:rFonts w:hint="eastAsia" w:ascii="仿宋_GB2312" w:hAnsi="仿宋_GB2312" w:eastAsia="仿宋_GB2312" w:cs="仿宋_GB2312"/>
          <w:color w:val="auto"/>
          <w:sz w:val="32"/>
          <w:szCs w:val="32"/>
          <w:highlight w:val="none"/>
        </w:rPr>
        <w:cr/>
      </w:r>
      <w:r>
        <w:rPr>
          <w:rFonts w:hint="eastAsia" w:ascii="仿宋_GB2312" w:hAnsi="仿宋_GB2312" w:eastAsia="仿宋_GB2312" w:cs="仿宋_GB2312"/>
          <w:color w:val="auto"/>
          <w:kern w:val="2"/>
          <w:sz w:val="32"/>
          <w:szCs w:val="32"/>
          <w:highlight w:val="none"/>
          <w:lang w:val="en-US" w:eastAsia="zh-CN" w:bidi="bo-CN"/>
        </w:rPr>
        <w:t>1.住宅房屋</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bo-CN"/>
        </w:rPr>
      </w:pPr>
      <w:r>
        <w:rPr>
          <w:rFonts w:hint="eastAsia" w:ascii="仿宋_GB2312" w:hAnsi="仿宋_GB2312" w:eastAsia="仿宋_GB2312" w:cs="仿宋_GB2312"/>
          <w:color w:val="auto"/>
          <w:kern w:val="2"/>
          <w:sz w:val="32"/>
          <w:szCs w:val="32"/>
          <w:highlight w:val="none"/>
          <w:lang w:val="en-US" w:eastAsia="zh-CN" w:bidi="bo-CN"/>
        </w:rPr>
        <w:t>按照2600元/户给予补偿。</w:t>
      </w:r>
    </w:p>
    <w:p>
      <w:pPr>
        <w:pStyle w:val="8"/>
        <w:keepNext w:val="0"/>
        <w:keepLines w:val="0"/>
        <w:pageBreakBefore w:val="0"/>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bo-CN"/>
        </w:rPr>
      </w:pPr>
      <w:r>
        <w:rPr>
          <w:rFonts w:hint="eastAsia" w:ascii="仿宋_GB2312" w:hAnsi="仿宋_GB2312" w:eastAsia="仿宋_GB2312" w:cs="仿宋_GB2312"/>
          <w:color w:val="auto"/>
          <w:kern w:val="2"/>
          <w:sz w:val="32"/>
          <w:szCs w:val="32"/>
          <w:highlight w:val="none"/>
          <w:lang w:val="en-US" w:eastAsia="zh-CN" w:bidi="bo-CN"/>
        </w:rPr>
        <w:t>2.经营性房屋</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rPr>
        <w:t>按照经营面积确定</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每平方米</w:t>
      </w:r>
      <w:r>
        <w:rPr>
          <w:rFonts w:hint="eastAsia" w:ascii="仿宋_GB2312" w:hAnsi="仿宋_GB2312" w:eastAsia="仿宋_GB2312" w:cs="仿宋_GB2312"/>
          <w:color w:val="auto"/>
          <w:sz w:val="32"/>
          <w:szCs w:val="32"/>
          <w:highlight w:val="none"/>
          <w:lang w:val="en-US"/>
        </w:rPr>
        <w:t>一次性支付搬迁费</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lang w:val="en-US"/>
        </w:rPr>
        <w:t>元</w:t>
      </w:r>
      <w:r>
        <w:rPr>
          <w:rFonts w:hint="eastAsia" w:ascii="仿宋_GB2312" w:hAnsi="仿宋_GB2312" w:eastAsia="仿宋_GB2312" w:cs="仿宋_GB2312"/>
          <w:color w:val="auto"/>
          <w:sz w:val="32"/>
          <w:szCs w:val="32"/>
          <w:highlight w:val="none"/>
          <w:lang w:val="en-US" w:eastAsia="zh-CN"/>
        </w:rPr>
        <w:t>；超过300平方米的，每户额外支付2600元的办公物品搬迁费</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以上搬迁费用包含了搬家费、电话移机费、有线电视迁移费等。</w:t>
      </w:r>
      <w:r>
        <w:rPr>
          <w:rFonts w:hint="eastAsia" w:ascii="仿宋_GB2312" w:hAnsi="仿宋_GB2312" w:eastAsia="仿宋_GB2312" w:cs="仿宋_GB2312"/>
          <w:color w:val="auto"/>
          <w:sz w:val="32"/>
          <w:szCs w:val="32"/>
          <w:highlight w:val="none"/>
        </w:rPr>
        <w:cr/>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bCs/>
          <w:color w:val="auto"/>
          <w:kern w:val="2"/>
          <w:sz w:val="32"/>
          <w:szCs w:val="32"/>
          <w:highlight w:val="none"/>
          <w:lang w:val="en-US" w:eastAsia="zh-CN" w:bidi="bo-CN"/>
        </w:rPr>
        <w:t xml:space="preserve"> </w:t>
      </w:r>
      <w:r>
        <w:rPr>
          <w:rFonts w:hint="eastAsia" w:ascii="仿宋_GB2312" w:hAnsi="仿宋_GB2312" w:eastAsia="仿宋_GB2312" w:cs="仿宋_GB2312"/>
          <w:color w:val="auto"/>
          <w:kern w:val="2"/>
          <w:sz w:val="32"/>
          <w:szCs w:val="32"/>
          <w:highlight w:val="none"/>
          <w:lang w:val="en-US" w:eastAsia="zh-CN" w:bidi="bo-CN"/>
        </w:rPr>
        <w:t>（四）住宅房屋的临时安置费</w:t>
      </w:r>
    </w:p>
    <w:p>
      <w:pPr>
        <w:numPr>
          <w:ilvl w:val="0"/>
          <w:numId w:val="0"/>
        </w:numPr>
        <w:spacing w:line="576" w:lineRule="exact"/>
        <w:ind w:firstLine="640" w:firstLineChars="200"/>
        <w:rPr>
          <w:rFonts w:hint="eastAsia"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none"/>
        </w:rPr>
        <w:t>选择产权调换的</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rPr>
        <w:t>，临时过渡期间，由</w:t>
      </w:r>
      <w:r>
        <w:rPr>
          <w:rFonts w:hint="eastAsia" w:ascii="仿宋_GB2312" w:hAnsi="仿宋_GB2312" w:eastAsia="仿宋_GB2312" w:cs="仿宋_GB2312"/>
          <w:color w:val="auto"/>
          <w:sz w:val="32"/>
          <w:szCs w:val="32"/>
          <w:highlight w:val="none"/>
          <w:lang w:val="en-US" w:eastAsia="zh-CN"/>
        </w:rPr>
        <w:t>被征收人</w:t>
      </w:r>
      <w:r>
        <w:rPr>
          <w:rFonts w:hint="eastAsia" w:ascii="仿宋_GB2312" w:hAnsi="仿宋_GB2312" w:eastAsia="仿宋_GB2312" w:cs="仿宋_GB2312"/>
          <w:color w:val="auto"/>
          <w:sz w:val="32"/>
          <w:szCs w:val="32"/>
          <w:highlight w:val="none"/>
        </w:rPr>
        <w:t>自行解决过渡房，按照</w:t>
      </w:r>
      <w:r>
        <w:rPr>
          <w:rFonts w:hint="eastAsia" w:ascii="仿宋_GB2312" w:hAnsi="仿宋_GB2312" w:eastAsia="仿宋_GB2312" w:cs="仿宋_GB2312"/>
          <w:color w:val="auto"/>
          <w:sz w:val="32"/>
          <w:szCs w:val="32"/>
          <w:highlight w:val="none"/>
          <w:lang w:val="en-US" w:eastAsia="zh-CN"/>
        </w:rPr>
        <w:t>每户1000</w:t>
      </w:r>
      <w:r>
        <w:rPr>
          <w:rFonts w:hint="eastAsia" w:ascii="仿宋_GB2312" w:hAnsi="仿宋_GB2312" w:eastAsia="仿宋_GB2312" w:cs="仿宋_GB2312"/>
          <w:color w:val="auto"/>
          <w:sz w:val="32"/>
          <w:szCs w:val="32"/>
          <w:highlight w:val="none"/>
        </w:rPr>
        <w:t>元</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给予临时安置费</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安置期限以实际交付公告之后三个月止。</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bo-CN"/>
        </w:rPr>
      </w:pPr>
      <w:r>
        <w:rPr>
          <w:rFonts w:hint="eastAsia" w:ascii="仿宋_GB2312" w:hAnsi="仿宋_GB2312" w:eastAsia="仿宋_GB2312" w:cs="仿宋_GB2312"/>
          <w:color w:val="auto"/>
          <w:kern w:val="2"/>
          <w:sz w:val="32"/>
          <w:szCs w:val="32"/>
          <w:highlight w:val="none"/>
          <w:lang w:val="en-US" w:eastAsia="zh-CN" w:bidi="bo-CN"/>
        </w:rPr>
        <w:t>（五）经营性房屋的停产停业损失补偿费或临时安置费</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bo-CN"/>
        </w:rPr>
      </w:pPr>
      <w:r>
        <w:rPr>
          <w:rFonts w:hint="eastAsia" w:ascii="仿宋_GB2312" w:hAnsi="仿宋_GB2312" w:eastAsia="仿宋_GB2312" w:cs="仿宋_GB2312"/>
          <w:color w:val="auto"/>
          <w:kern w:val="2"/>
          <w:sz w:val="32"/>
          <w:szCs w:val="32"/>
          <w:highlight w:val="none"/>
          <w:lang w:val="en-US" w:eastAsia="zh-CN" w:bidi="bo-CN"/>
        </w:rPr>
        <w:t>被征收人的房屋为经营性房屋的，原则上给予停产停业损失补偿费；被征收人</w:t>
      </w:r>
      <w:r>
        <w:rPr>
          <w:rFonts w:hint="eastAsia" w:ascii="仿宋_GB2312" w:hAnsi="仿宋_GB2312" w:eastAsia="仿宋_GB2312" w:cs="仿宋_GB2312"/>
          <w:color w:val="auto"/>
          <w:sz w:val="32"/>
          <w:szCs w:val="32"/>
          <w:highlight w:val="none"/>
          <w:lang w:val="en-US" w:eastAsia="zh-CN"/>
        </w:rPr>
        <w:t>无法提供所得税票据、在</w:t>
      </w:r>
      <w:r>
        <w:rPr>
          <w:rFonts w:hint="eastAsia" w:ascii="仿宋_GB2312" w:hAnsi="仿宋_GB2312" w:eastAsia="仿宋_GB2312" w:cs="仿宋_GB2312"/>
          <w:color w:val="auto"/>
          <w:sz w:val="32"/>
          <w:szCs w:val="32"/>
          <w:highlight w:val="none"/>
        </w:rPr>
        <w:t>劳动保障部门备案或连续缴纳社保6个月以上的</w:t>
      </w:r>
      <w:r>
        <w:rPr>
          <w:rFonts w:hint="eastAsia" w:ascii="仿宋_GB2312" w:hAnsi="仿宋_GB2312" w:eastAsia="仿宋_GB2312" w:cs="仿宋_GB2312"/>
          <w:color w:val="auto"/>
          <w:sz w:val="32"/>
          <w:szCs w:val="32"/>
          <w:highlight w:val="none"/>
          <w:lang w:val="en-US" w:eastAsia="zh-CN"/>
        </w:rPr>
        <w:t>员工</w:t>
      </w:r>
      <w:r>
        <w:rPr>
          <w:rFonts w:hint="eastAsia" w:ascii="仿宋_GB2312" w:hAnsi="仿宋_GB2312" w:eastAsia="仿宋_GB2312" w:cs="仿宋_GB2312"/>
          <w:color w:val="auto"/>
          <w:sz w:val="32"/>
          <w:szCs w:val="32"/>
          <w:highlight w:val="none"/>
        </w:rPr>
        <w:t>人数</w:t>
      </w:r>
      <w:r>
        <w:rPr>
          <w:rFonts w:hint="eastAsia" w:ascii="仿宋_GB2312" w:hAnsi="仿宋_GB2312" w:eastAsia="仿宋_GB2312" w:cs="仿宋_GB2312"/>
          <w:color w:val="auto"/>
          <w:sz w:val="32"/>
          <w:szCs w:val="32"/>
          <w:highlight w:val="none"/>
          <w:lang w:val="en-US" w:eastAsia="zh-CN"/>
        </w:rPr>
        <w:t>的，发放临时安置费和</w:t>
      </w:r>
      <w:r>
        <w:rPr>
          <w:rFonts w:hint="eastAsia" w:ascii="仿宋_GB2312" w:hAnsi="仿宋_GB2312" w:eastAsia="仿宋_GB2312" w:cs="仿宋_GB2312"/>
          <w:color w:val="auto"/>
          <w:kern w:val="2"/>
          <w:sz w:val="32"/>
          <w:szCs w:val="32"/>
          <w:highlight w:val="none"/>
          <w:lang w:val="en-US" w:eastAsia="zh-CN" w:bidi="bo-CN"/>
        </w:rPr>
        <w:t>停产停业损失补偿费第（3）项</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bo-CN"/>
        </w:rPr>
        <w:t>1.停产停业损失补偿费</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rPr>
        <w:t>停产停业损失补偿</w:t>
      </w:r>
      <w:r>
        <w:rPr>
          <w:rFonts w:hint="eastAsia" w:ascii="仿宋_GB2312" w:hAnsi="仿宋_GB2312" w:eastAsia="仿宋_GB2312" w:cs="仿宋_GB2312"/>
          <w:color w:val="auto"/>
          <w:sz w:val="32"/>
          <w:szCs w:val="32"/>
          <w:highlight w:val="none"/>
          <w:lang w:val="en-US" w:eastAsia="zh-CN"/>
        </w:rPr>
        <w:t>期限</w:t>
      </w:r>
      <w:r>
        <w:rPr>
          <w:rFonts w:hint="eastAsia" w:ascii="仿宋_GB2312" w:hAnsi="仿宋_GB2312" w:eastAsia="仿宋_GB2312" w:cs="仿宋_GB2312"/>
          <w:color w:val="auto"/>
          <w:sz w:val="32"/>
          <w:szCs w:val="32"/>
          <w:highlight w:val="none"/>
          <w:lang w:val="en-US"/>
        </w:rPr>
        <w:t>自</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rPr>
        <w:t>搬迁之日起至产权调换房屋交付公告发出之后3个月止</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numPr>
          <w:ilvl w:val="0"/>
          <w:numId w:val="2"/>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val="en-US"/>
        </w:rPr>
        <w:t>停产停业期间净利润损失补偿</w:t>
      </w:r>
    </w:p>
    <w:p>
      <w:pPr>
        <w:keepNext w:val="0"/>
        <w:keepLines w:val="0"/>
        <w:pageBreakBefore w:val="0"/>
        <w:numPr>
          <w:ilvl w:val="-1"/>
          <w:numId w:val="0"/>
        </w:numPr>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rPr>
        <w:t>停产停业期间净利润损失补偿=月平均净利润×补偿期限（月）</w:t>
      </w:r>
      <w:r>
        <w:rPr>
          <w:rFonts w:hint="eastAsia" w:ascii="仿宋_GB2312" w:hAnsi="仿宋_GB2312" w:eastAsia="仿宋_GB2312" w:cs="仿宋_GB2312"/>
          <w:color w:val="auto"/>
          <w:sz w:val="32"/>
          <w:szCs w:val="32"/>
          <w:highlight w:val="none"/>
          <w:lang w:val="en-US" w:eastAsia="zh-CN"/>
        </w:rPr>
        <w:t>。月平均净利润按征收决定公告之日前上一年度实际缴纳的所得税、税率推算。</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停产停业期间员工基本生活补助</w:t>
      </w:r>
    </w:p>
    <w:p>
      <w:pPr>
        <w:pStyle w:val="8"/>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停产停业期间员工基本生活补助=员工人数×月生活补助标准×</w:t>
      </w:r>
      <w:r>
        <w:rPr>
          <w:rFonts w:hint="eastAsia" w:ascii="仿宋_GB2312" w:hAnsi="仿宋_GB2312" w:eastAsia="仿宋_GB2312" w:cs="仿宋_GB2312"/>
          <w:color w:val="auto"/>
          <w:sz w:val="32"/>
          <w:szCs w:val="32"/>
          <w:highlight w:val="none"/>
          <w:lang w:val="en-US"/>
        </w:rPr>
        <w:t>补偿期限（月）</w:t>
      </w:r>
      <w:r>
        <w:rPr>
          <w:rFonts w:hint="eastAsia" w:ascii="仿宋_GB2312" w:hAnsi="仿宋_GB2312" w:eastAsia="仿宋_GB2312" w:cs="仿宋_GB2312"/>
          <w:color w:val="auto"/>
          <w:sz w:val="32"/>
          <w:szCs w:val="32"/>
          <w:highlight w:val="none"/>
        </w:rPr>
        <w:t>。员工月生活补助标准参照上一年度</w:t>
      </w:r>
      <w:r>
        <w:rPr>
          <w:rFonts w:hint="eastAsia" w:ascii="仿宋_GB2312" w:hAnsi="仿宋_GB2312" w:eastAsia="仿宋_GB2312" w:cs="仿宋_GB2312"/>
          <w:color w:val="auto"/>
          <w:sz w:val="32"/>
          <w:szCs w:val="32"/>
          <w:highlight w:val="none"/>
          <w:lang w:val="en-US"/>
        </w:rPr>
        <w:t>青海</w:t>
      </w:r>
      <w:r>
        <w:rPr>
          <w:rFonts w:hint="eastAsia" w:ascii="仿宋_GB2312" w:hAnsi="仿宋_GB2312" w:eastAsia="仿宋_GB2312" w:cs="仿宋_GB2312"/>
          <w:color w:val="auto"/>
          <w:sz w:val="32"/>
          <w:szCs w:val="32"/>
          <w:highlight w:val="none"/>
        </w:rPr>
        <w:t>最低工资标准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2080元）</w:t>
      </w:r>
      <w:r>
        <w:rPr>
          <w:rFonts w:hint="eastAsia" w:ascii="仿宋_GB2312" w:hAnsi="仿宋_GB2312" w:eastAsia="仿宋_GB2312" w:cs="仿宋_GB2312"/>
          <w:color w:val="auto"/>
          <w:sz w:val="32"/>
          <w:szCs w:val="32"/>
          <w:highlight w:val="none"/>
        </w:rPr>
        <w:t>计算。员工数量以</w:t>
      </w:r>
      <w:r>
        <w:rPr>
          <w:rFonts w:hint="eastAsia" w:ascii="仿宋_GB2312" w:hAnsi="仿宋_GB2312" w:eastAsia="仿宋_GB2312" w:cs="仿宋_GB2312"/>
          <w:color w:val="auto"/>
          <w:sz w:val="32"/>
          <w:szCs w:val="32"/>
          <w:highlight w:val="none"/>
          <w:lang w:val="en-US" w:eastAsia="zh-CN"/>
        </w:rPr>
        <w:t>征收决定公告</w:t>
      </w:r>
      <w:r>
        <w:rPr>
          <w:rFonts w:hint="eastAsia" w:ascii="仿宋_GB2312" w:hAnsi="仿宋_GB2312" w:eastAsia="仿宋_GB2312" w:cs="仿宋_GB2312"/>
          <w:color w:val="auto"/>
          <w:sz w:val="32"/>
          <w:szCs w:val="32"/>
          <w:highlight w:val="none"/>
        </w:rPr>
        <w:t>前6个月企业在劳动保障部门备案或连续缴纳社保6个月以上的人数为准。</w:t>
      </w:r>
    </w:p>
    <w:p>
      <w:pPr>
        <w:pStyle w:val="8"/>
        <w:ind w:firstLine="640" w:firstLineChars="200"/>
        <w:jc w:val="left"/>
        <w:rPr>
          <w:rFonts w:hint="eastAsia" w:ascii="仿宋_GB2312" w:hAnsi="仿宋_GB2312" w:eastAsia="仿宋_GB2312" w:cs="仿宋_GB2312"/>
          <w:strike/>
          <w:color w:val="auto"/>
          <w:sz w:val="32"/>
          <w:szCs w:val="32"/>
          <w:highlight w:val="none"/>
          <w:lang w:val="en-US" w:eastAsia="zh-CN"/>
        </w:rPr>
      </w:pPr>
      <w:r>
        <w:rPr>
          <w:rFonts w:hint="eastAsia" w:ascii="仿宋_GB2312" w:hAnsi="仿宋_GB2312" w:eastAsia="仿宋_GB2312" w:cs="仿宋_GB2312"/>
          <w:strike w:val="0"/>
          <w:color w:val="auto"/>
          <w:sz w:val="32"/>
          <w:szCs w:val="32"/>
          <w:highlight w:val="none"/>
          <w:lang w:val="en-US" w:eastAsia="zh-CN"/>
        </w:rPr>
        <w:t>（3）可搬迁设施设备的拆除、运输、安装、调试费用及无法恢复设施设备的残余价值由房地产价格评估机构评估确定。</w:t>
      </w:r>
    </w:p>
    <w:p>
      <w:pPr>
        <w:numPr>
          <w:ilvl w:val="-1"/>
          <w:numId w:val="0"/>
        </w:numPr>
        <w:spacing w:line="576"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2.临时安置费</w:t>
      </w:r>
    </w:p>
    <w:p>
      <w:pPr>
        <w:pStyle w:val="8"/>
        <w:ind w:firstLine="640" w:firstLineChars="200"/>
        <w:jc w:val="left"/>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shd w:val="clear" w:color="auto" w:fill="auto"/>
          <w:lang w:val="en-US" w:eastAsia="zh-CN"/>
        </w:rPr>
        <w:t>选择自行过渡的，</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val="en-US" w:eastAsia="zh-CN"/>
        </w:rPr>
        <w:t>正面临街每平方米</w:t>
      </w:r>
      <w:r>
        <w:rPr>
          <w:rFonts w:hint="eastAsia" w:ascii="仿宋_GB2312" w:hAnsi="仿宋_GB2312" w:eastAsia="仿宋_GB2312" w:cs="仿宋_GB2312"/>
          <w:color w:val="auto"/>
          <w:sz w:val="32"/>
          <w:szCs w:val="32"/>
          <w:highlight w:val="none"/>
          <w:lang w:eastAsia="zh-CN"/>
        </w:rPr>
        <w:t>3</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元</w:t>
      </w:r>
      <w:r>
        <w:rPr>
          <w:rFonts w:hint="eastAsia" w:ascii="仿宋_GB2312" w:hAnsi="仿宋_GB2312" w:eastAsia="仿宋_GB2312" w:cs="仿宋_GB2312"/>
          <w:color w:val="auto"/>
          <w:sz w:val="32"/>
          <w:szCs w:val="32"/>
          <w:highlight w:val="none"/>
          <w:lang w:val="en-US" w:eastAsia="zh-CN"/>
        </w:rPr>
        <w:t>/月、侧面临街每平方米20</w:t>
      </w:r>
      <w:r>
        <w:rPr>
          <w:rFonts w:hint="eastAsia" w:ascii="仿宋_GB2312" w:hAnsi="仿宋_GB2312" w:eastAsia="仿宋_GB2312" w:cs="仿宋_GB2312"/>
          <w:color w:val="auto"/>
          <w:sz w:val="32"/>
          <w:szCs w:val="32"/>
          <w:highlight w:val="none"/>
        </w:rPr>
        <w:t>元</w:t>
      </w:r>
      <w:r>
        <w:rPr>
          <w:rFonts w:hint="eastAsia" w:ascii="仿宋_GB2312" w:hAnsi="仿宋_GB2312" w:eastAsia="仿宋_GB2312" w:cs="仿宋_GB2312"/>
          <w:color w:val="auto"/>
          <w:sz w:val="32"/>
          <w:szCs w:val="32"/>
          <w:highlight w:val="none"/>
          <w:lang w:val="en-US" w:eastAsia="zh-CN"/>
        </w:rPr>
        <w:t>/月、二楼及以上每平方米10元/月</w:t>
      </w:r>
      <w:r>
        <w:rPr>
          <w:rFonts w:hint="eastAsia" w:ascii="仿宋_GB2312" w:hAnsi="仿宋_GB2312" w:eastAsia="仿宋_GB2312" w:cs="仿宋_GB2312"/>
          <w:color w:val="auto"/>
          <w:sz w:val="32"/>
          <w:szCs w:val="32"/>
          <w:highlight w:val="none"/>
        </w:rPr>
        <w:t>发放</w:t>
      </w:r>
      <w:r>
        <w:rPr>
          <w:rFonts w:hint="eastAsia" w:ascii="仿宋_GB2312" w:hAnsi="仿宋_GB2312" w:eastAsia="仿宋_GB2312" w:cs="仿宋_GB2312"/>
          <w:color w:val="auto"/>
          <w:kern w:val="2"/>
          <w:sz w:val="32"/>
          <w:szCs w:val="32"/>
          <w:highlight w:val="none"/>
          <w:lang w:val="en-US" w:eastAsia="zh-CN" w:bidi="bo-CN"/>
        </w:rPr>
        <w:t>临时安置费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临时安置费的发放自</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eastAsia="zh-CN"/>
        </w:rPr>
        <w:t>搬迁之日起至产权调换房屋交付公告发出之后三个月止</w:t>
      </w:r>
      <w:r>
        <w:rPr>
          <w:rFonts w:hint="eastAsia" w:ascii="仿宋_GB2312" w:hAnsi="仿宋_GB2312" w:eastAsia="仿宋_GB2312" w:cs="仿宋_GB2312"/>
          <w:color w:val="auto"/>
          <w:sz w:val="32"/>
          <w:szCs w:val="32"/>
          <w:highlight w:val="none"/>
          <w:shd w:val="clear" w:color="auto" w:fill="auto"/>
          <w:lang w:val="en-US" w:eastAsia="zh-CN"/>
        </w:rPr>
        <w:t>。</w:t>
      </w:r>
    </w:p>
    <w:p>
      <w:pPr>
        <w:pStyle w:val="8"/>
        <w:ind w:firstLine="640" w:firstLineChars="200"/>
        <w:jc w:val="left"/>
        <w:rPr>
          <w:rFonts w:hint="eastAsia" w:ascii="仿宋_GB2312" w:hAnsi="仿宋_GB2312" w:eastAsia="仿宋_GB2312" w:cs="仿宋_GB2312"/>
          <w:strike/>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eastAsia="zh-CN"/>
        </w:rPr>
        <w:t>选择政府周转房过渡的，不再发放临时安置费，由政府按照方便经营原则安排周转房。</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（六）土地出让金</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color w:val="auto"/>
          <w:sz w:val="32"/>
          <w:szCs w:val="32"/>
          <w:highlight w:val="none"/>
          <w:lang w:val="en-US" w:eastAsia="zh-CN"/>
        </w:rPr>
        <w:t>已经缴纳了土地出让金的，按照缴纳发票金额退还剩余年限的土地出让金。</w:t>
      </w:r>
    </w:p>
    <w:p>
      <w:pPr>
        <w:pStyle w:val="8"/>
        <w:keepNext w:val="0"/>
        <w:keepLines w:val="0"/>
        <w:pageBreakBefore w:val="0"/>
        <w:kinsoku/>
        <w:wordWrap/>
        <w:overflowPunct/>
        <w:topLinePunct w:val="0"/>
        <w:autoSpaceDE/>
        <w:autoSpaceDN/>
        <w:bidi w:val="0"/>
        <w:spacing w:line="576" w:lineRule="exact"/>
        <w:ind w:firstLine="640" w:firstLineChars="200"/>
        <w:jc w:val="both"/>
        <w:textAlignment w:val="auto"/>
        <w:rPr>
          <w:rFonts w:hint="eastAsia" w:ascii="黑体" w:hAnsi="黑体" w:eastAsia="黑体" w:cs="黑体"/>
          <w:b w:val="0"/>
          <w:bCs w:val="0"/>
          <w:color w:val="auto"/>
          <w:kern w:val="2"/>
          <w:sz w:val="32"/>
          <w:szCs w:val="32"/>
          <w:lang w:val="en-US" w:bidi="bo-CN"/>
        </w:rPr>
      </w:pPr>
      <w:r>
        <w:rPr>
          <w:rFonts w:hint="eastAsia" w:ascii="黑体" w:hAnsi="黑体" w:eastAsia="黑体" w:cs="黑体"/>
          <w:b w:val="0"/>
          <w:bCs w:val="0"/>
          <w:color w:val="auto"/>
          <w:kern w:val="2"/>
          <w:sz w:val="32"/>
          <w:szCs w:val="32"/>
          <w:lang w:val="en-US" w:bidi="bo-CN"/>
        </w:rPr>
        <w:t>十</w:t>
      </w:r>
      <w:r>
        <w:rPr>
          <w:rFonts w:hint="eastAsia" w:ascii="黑体" w:hAnsi="黑体" w:eastAsia="黑体" w:cs="黑体"/>
          <w:b w:val="0"/>
          <w:bCs w:val="0"/>
          <w:color w:val="auto"/>
          <w:kern w:val="2"/>
          <w:sz w:val="32"/>
          <w:szCs w:val="32"/>
          <w:lang w:val="en-US" w:eastAsia="zh-CN" w:bidi="bo-CN"/>
        </w:rPr>
        <w:t>、</w:t>
      </w:r>
      <w:r>
        <w:rPr>
          <w:rFonts w:hint="eastAsia" w:ascii="黑体" w:hAnsi="黑体" w:eastAsia="黑体" w:cs="黑体"/>
          <w:b w:val="0"/>
          <w:bCs w:val="0"/>
          <w:color w:val="auto"/>
          <w:kern w:val="2"/>
          <w:sz w:val="32"/>
          <w:szCs w:val="32"/>
          <w:lang w:val="en-US" w:bidi="bo-CN"/>
        </w:rPr>
        <w:t>签约奖励</w:t>
      </w:r>
    </w:p>
    <w:p>
      <w:pPr>
        <w:keepNext w:val="0"/>
        <w:keepLines w:val="0"/>
        <w:pageBreakBefore w:val="0"/>
        <w:widowControl/>
        <w:kinsoku/>
        <w:wordWrap/>
        <w:overflowPunct/>
        <w:topLinePunct w:val="0"/>
        <w:autoSpaceDE/>
        <w:autoSpaceDN/>
        <w:bidi w:val="0"/>
        <w:spacing w:after="75" w:line="576"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签约期</w:t>
      </w:r>
      <w:r>
        <w:rPr>
          <w:rFonts w:hint="eastAsia" w:ascii="仿宋_GB2312" w:hAnsi="仿宋_GB2312" w:eastAsia="仿宋_GB2312" w:cs="仿宋_GB2312"/>
          <w:color w:val="auto"/>
          <w:sz w:val="32"/>
          <w:szCs w:val="32"/>
          <w:highlight w:val="none"/>
          <w:lang w:val="en-US"/>
        </w:rPr>
        <w:t>为</w:t>
      </w: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lang w:val="en-US"/>
        </w:rPr>
        <w:t>天</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rPr>
        <w:t>具体时间以签约公告为准</w:t>
      </w:r>
      <w:r>
        <w:rPr>
          <w:rFonts w:hint="eastAsia" w:ascii="仿宋_GB2312" w:hAnsi="仿宋_GB2312" w:eastAsia="仿宋_GB2312" w:cs="仿宋_GB2312"/>
          <w:color w:val="auto"/>
          <w:sz w:val="32"/>
          <w:szCs w:val="32"/>
          <w:highlight w:val="none"/>
        </w:rPr>
        <w:t>。第1天至第10天内，签订</w:t>
      </w:r>
      <w:r>
        <w:rPr>
          <w:rFonts w:hint="eastAsia" w:ascii="仿宋_GB2312" w:hAnsi="仿宋_GB2312" w:eastAsia="仿宋_GB2312" w:cs="仿宋_GB2312"/>
          <w:color w:val="auto"/>
          <w:sz w:val="32"/>
          <w:szCs w:val="32"/>
          <w:highlight w:val="none"/>
          <w:lang w:val="en-US" w:eastAsia="zh-CN"/>
        </w:rPr>
        <w:t>征收</w:t>
      </w:r>
      <w:r>
        <w:rPr>
          <w:rFonts w:hint="eastAsia" w:ascii="仿宋_GB2312" w:hAnsi="仿宋_GB2312" w:eastAsia="仿宋_GB2312" w:cs="仿宋_GB2312"/>
          <w:color w:val="auto"/>
          <w:sz w:val="32"/>
          <w:szCs w:val="32"/>
          <w:highlight w:val="none"/>
        </w:rPr>
        <w:t>补偿协议并腾退移交房屋的，每户给</w:t>
      </w:r>
      <w:r>
        <w:rPr>
          <w:rFonts w:hint="eastAsia" w:ascii="仿宋_GB2312" w:hAnsi="仿宋_GB2312" w:eastAsia="仿宋_GB2312" w:cs="仿宋_GB2312"/>
          <w:color w:val="auto"/>
          <w:sz w:val="32"/>
          <w:szCs w:val="32"/>
          <w:highlight w:val="none"/>
          <w:shd w:val="clear" w:color="auto" w:fill="auto"/>
        </w:rPr>
        <w:t>予</w:t>
      </w:r>
      <w:r>
        <w:rPr>
          <w:rFonts w:hint="eastAsia" w:ascii="仿宋_GB2312" w:hAnsi="仿宋_GB2312" w:eastAsia="仿宋_GB2312" w:cs="仿宋_GB2312"/>
          <w:color w:val="auto"/>
          <w:sz w:val="32"/>
          <w:szCs w:val="32"/>
          <w:highlight w:val="none"/>
          <w:shd w:val="clear" w:color="auto" w:fill="auto"/>
          <w:lang w:val="en-US" w:eastAsia="zh-CN"/>
        </w:rPr>
        <w:t>9000</w:t>
      </w:r>
      <w:r>
        <w:rPr>
          <w:rFonts w:hint="eastAsia" w:ascii="仿宋_GB2312" w:hAnsi="仿宋_GB2312" w:eastAsia="仿宋_GB2312" w:cs="仿宋_GB2312"/>
          <w:color w:val="auto"/>
          <w:sz w:val="32"/>
          <w:szCs w:val="32"/>
          <w:highlight w:val="none"/>
          <w:shd w:val="clear" w:color="auto" w:fill="auto"/>
        </w:rPr>
        <w:t>元的</w:t>
      </w:r>
      <w:r>
        <w:rPr>
          <w:rFonts w:hint="eastAsia" w:ascii="仿宋_GB2312" w:hAnsi="仿宋_GB2312" w:eastAsia="仿宋_GB2312" w:cs="仿宋_GB2312"/>
          <w:color w:val="auto"/>
          <w:sz w:val="32"/>
          <w:szCs w:val="32"/>
          <w:highlight w:val="none"/>
        </w:rPr>
        <w:t>奖励；第11天至第15天内，签订</w:t>
      </w:r>
      <w:r>
        <w:rPr>
          <w:rFonts w:hint="eastAsia" w:ascii="仿宋_GB2312" w:hAnsi="仿宋_GB2312" w:eastAsia="仿宋_GB2312" w:cs="仿宋_GB2312"/>
          <w:color w:val="auto"/>
          <w:sz w:val="32"/>
          <w:szCs w:val="32"/>
          <w:highlight w:val="none"/>
          <w:lang w:val="en-US" w:eastAsia="zh-CN"/>
        </w:rPr>
        <w:t>征收</w:t>
      </w:r>
      <w:r>
        <w:rPr>
          <w:rFonts w:hint="eastAsia" w:ascii="仿宋_GB2312" w:hAnsi="仿宋_GB2312" w:eastAsia="仿宋_GB2312" w:cs="仿宋_GB2312"/>
          <w:color w:val="auto"/>
          <w:sz w:val="32"/>
          <w:szCs w:val="32"/>
          <w:highlight w:val="none"/>
        </w:rPr>
        <w:t>补偿协议并腾退移交房屋的，给予</w:t>
      </w:r>
      <w:r>
        <w:rPr>
          <w:rFonts w:hint="eastAsia" w:ascii="仿宋_GB2312" w:hAnsi="仿宋_GB2312" w:eastAsia="仿宋_GB2312" w:cs="仿宋_GB2312"/>
          <w:color w:val="auto"/>
          <w:sz w:val="32"/>
          <w:szCs w:val="32"/>
          <w:highlight w:val="none"/>
          <w:lang w:val="en-US" w:eastAsia="zh-CN"/>
        </w:rPr>
        <w:t>2000</w:t>
      </w:r>
      <w:r>
        <w:rPr>
          <w:rFonts w:hint="eastAsia" w:ascii="仿宋_GB2312" w:hAnsi="仿宋_GB2312" w:eastAsia="仿宋_GB2312" w:cs="仿宋_GB2312"/>
          <w:color w:val="auto"/>
          <w:sz w:val="32"/>
          <w:szCs w:val="32"/>
          <w:highlight w:val="none"/>
        </w:rPr>
        <w:t>元的奖励；超过签约期未签订</w:t>
      </w:r>
      <w:r>
        <w:rPr>
          <w:rFonts w:hint="eastAsia" w:ascii="仿宋_GB2312" w:hAnsi="仿宋_GB2312" w:eastAsia="仿宋_GB2312" w:cs="仿宋_GB2312"/>
          <w:color w:val="auto"/>
          <w:sz w:val="32"/>
          <w:szCs w:val="32"/>
          <w:highlight w:val="none"/>
          <w:lang w:val="en-US" w:eastAsia="zh-CN"/>
        </w:rPr>
        <w:t>征收</w:t>
      </w:r>
      <w:r>
        <w:rPr>
          <w:rFonts w:hint="eastAsia" w:ascii="仿宋_GB2312" w:hAnsi="仿宋_GB2312" w:eastAsia="仿宋_GB2312" w:cs="仿宋_GB2312"/>
          <w:color w:val="auto"/>
          <w:sz w:val="32"/>
          <w:szCs w:val="32"/>
          <w:highlight w:val="none"/>
        </w:rPr>
        <w:t>补偿安置协议的，不予奖励。</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楷体_GB2312" w:hAnsi="楷体_GB2312" w:eastAsia="楷体_GB2312" w:cs="楷体_GB2312"/>
          <w:b/>
          <w:bCs/>
          <w:color w:val="auto"/>
          <w:kern w:val="2"/>
          <w:sz w:val="32"/>
          <w:szCs w:val="32"/>
          <w:highlight w:val="none"/>
          <w:lang w:val="en-US" w:eastAsia="zh-CN" w:bidi="bo-CN"/>
        </w:rPr>
      </w:pPr>
      <w:r>
        <w:rPr>
          <w:rFonts w:hint="eastAsia" w:ascii="黑体" w:hAnsi="黑体" w:eastAsia="黑体" w:cs="黑体"/>
          <w:b w:val="0"/>
          <w:bCs w:val="0"/>
          <w:color w:val="auto"/>
          <w:kern w:val="2"/>
          <w:sz w:val="32"/>
          <w:szCs w:val="32"/>
          <w:lang w:val="en-US" w:eastAsia="zh-CN" w:bidi="bo-CN"/>
        </w:rPr>
        <w:t>十一、被征收人身份确认流程</w:t>
      </w:r>
    </w:p>
    <w:p>
      <w:pPr>
        <w:pStyle w:val="8"/>
        <w:keepNext w:val="0"/>
        <w:keepLines w:val="0"/>
        <w:pageBreakBefore w:val="0"/>
        <w:widowControl w:val="0"/>
        <w:kinsoku/>
        <w:wordWrap/>
        <w:overflowPunct/>
        <w:topLinePunct w:val="0"/>
        <w:autoSpaceDE/>
        <w:autoSpaceDN/>
        <w:bidi w:val="0"/>
        <w:adjustRightInd w:val="0"/>
        <w:snapToGrid w:val="0"/>
        <w:spacing w:line="576" w:lineRule="exact"/>
        <w:ind w:left="105" w:leftChars="50" w:firstLine="480" w:firstLineChars="15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（一）权属资料的提交与申报：各</w:t>
      </w:r>
      <w:r>
        <w:rPr>
          <w:rFonts w:hint="eastAsia" w:ascii="仿宋_GB2312" w:hAnsi="仿宋_GB2312" w:eastAsia="仿宋_GB2312" w:cs="仿宋_GB2312"/>
          <w:color w:val="auto"/>
          <w:sz w:val="32"/>
          <w:szCs w:val="32"/>
          <w:highlight w:val="none"/>
          <w:lang w:val="en-US" w:eastAsia="zh-CN"/>
        </w:rPr>
        <w:t>被征收人</w:t>
      </w:r>
      <w:r>
        <w:rPr>
          <w:rFonts w:hint="eastAsia" w:ascii="仿宋_GB2312" w:hAnsi="仿宋_GB2312" w:eastAsia="仿宋_GB2312" w:cs="仿宋_GB2312"/>
          <w:color w:val="auto"/>
          <w:sz w:val="32"/>
          <w:szCs w:val="32"/>
          <w:highlight w:val="none"/>
        </w:rPr>
        <w:t>填写《权属核查证明书》，并根据自身情况提交所有权属资料复印件，核验原件，包括身份证、权属证书、工商营业执照、纳税证明等，无法提供权属证书原件的，应当提供不动产登记中心查询的房地产登记信息资料原件。</w:t>
      </w:r>
    </w:p>
    <w:p>
      <w:pPr>
        <w:pStyle w:val="8"/>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（二）权属资料的审查与认定：</w:t>
      </w:r>
      <w:r>
        <w:rPr>
          <w:rFonts w:hint="eastAsia" w:ascii="仿宋_GB2312" w:hAnsi="仿宋_GB2312" w:eastAsia="仿宋_GB2312" w:cs="仿宋_GB2312"/>
          <w:color w:val="auto"/>
          <w:sz w:val="32"/>
          <w:szCs w:val="32"/>
          <w:highlight w:val="none"/>
          <w:lang w:val="en-US" w:eastAsia="zh-CN"/>
        </w:rPr>
        <w:t>征收实施部门</w:t>
      </w:r>
      <w:r>
        <w:rPr>
          <w:rFonts w:hint="eastAsia" w:ascii="仿宋_GB2312" w:hAnsi="仿宋_GB2312" w:eastAsia="仿宋_GB2312" w:cs="仿宋_GB2312"/>
          <w:color w:val="auto"/>
          <w:sz w:val="32"/>
          <w:szCs w:val="32"/>
          <w:highlight w:val="none"/>
        </w:rPr>
        <w:t>对各</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rPr>
        <w:t>提供的权属资料进行审查，并到相关职能部门进行核查，根据核查结果，做出权属核查认定。</w:t>
      </w:r>
      <w:r>
        <w:rPr>
          <w:rFonts w:hint="eastAsia" w:ascii="仿宋_GB2312" w:hAnsi="仿宋_GB2312" w:eastAsia="仿宋_GB2312" w:cs="仿宋_GB2312"/>
          <w:color w:val="auto"/>
          <w:sz w:val="32"/>
          <w:szCs w:val="32"/>
          <w:highlight w:val="none"/>
        </w:rPr>
        <w:cr/>
      </w:r>
      <w:r>
        <w:rPr>
          <w:rFonts w:hint="eastAsia" w:ascii="仿宋_GB2312" w:hAnsi="仿宋_GB2312" w:eastAsia="仿宋_GB2312" w:cs="仿宋_GB2312"/>
          <w:color w:val="auto"/>
          <w:sz w:val="32"/>
          <w:szCs w:val="32"/>
          <w:highlight w:val="none"/>
        </w:rPr>
        <w:t xml:space="preserve">    （三）权属结果的公示与确认：</w:t>
      </w:r>
      <w:r>
        <w:rPr>
          <w:rFonts w:hint="eastAsia" w:ascii="仿宋_GB2312" w:hAnsi="仿宋_GB2312" w:eastAsia="仿宋_GB2312" w:cs="仿宋_GB2312"/>
          <w:color w:val="auto"/>
          <w:sz w:val="32"/>
          <w:szCs w:val="32"/>
          <w:highlight w:val="none"/>
          <w:lang w:val="en-US" w:eastAsia="zh-CN"/>
        </w:rPr>
        <w:t>征收实施部门</w:t>
      </w:r>
      <w:r>
        <w:rPr>
          <w:rFonts w:hint="eastAsia" w:ascii="仿宋_GB2312" w:hAnsi="仿宋_GB2312" w:eastAsia="仿宋_GB2312" w:cs="仿宋_GB2312"/>
          <w:color w:val="auto"/>
          <w:sz w:val="32"/>
          <w:szCs w:val="32"/>
          <w:highlight w:val="none"/>
        </w:rPr>
        <w:t>将权属核查认定结果进行公示，有异议的，提出</w:t>
      </w:r>
      <w:r>
        <w:rPr>
          <w:rFonts w:hint="eastAsia" w:ascii="仿宋_GB2312" w:hAnsi="仿宋_GB2312" w:eastAsia="仿宋_GB2312" w:cs="仿宋_GB2312"/>
          <w:color w:val="auto"/>
          <w:sz w:val="32"/>
          <w:szCs w:val="32"/>
          <w:highlight w:val="none"/>
          <w:lang w:val="en-US"/>
        </w:rPr>
        <w:t>复核</w:t>
      </w:r>
      <w:r>
        <w:rPr>
          <w:rFonts w:hint="eastAsia" w:ascii="仿宋_GB2312" w:hAnsi="仿宋_GB2312" w:eastAsia="仿宋_GB2312" w:cs="仿宋_GB2312"/>
          <w:color w:val="auto"/>
          <w:sz w:val="32"/>
          <w:szCs w:val="32"/>
          <w:highlight w:val="none"/>
        </w:rPr>
        <w:t>，进行重新核查；无异议或异议不成立的，确认结果作为补偿的依据；异议成立的，重新公示、核查和认定权属情况。</w:t>
      </w:r>
    </w:p>
    <w:p>
      <w:pPr>
        <w:pStyle w:val="8"/>
        <w:keepNext w:val="0"/>
        <w:keepLines w:val="0"/>
        <w:pageBreakBefore w:val="0"/>
        <w:numPr>
          <w:ilvl w:val="0"/>
          <w:numId w:val="0"/>
        </w:numPr>
        <w:kinsoku/>
        <w:wordWrap/>
        <w:overflowPunct/>
        <w:topLinePunct w:val="0"/>
        <w:autoSpaceDE/>
        <w:autoSpaceDN/>
        <w:bidi w:val="0"/>
        <w:spacing w:line="576" w:lineRule="exact"/>
        <w:ind w:firstLine="640" w:firstLineChars="200"/>
        <w:jc w:val="left"/>
        <w:textAlignment w:val="auto"/>
        <w:rPr>
          <w:rFonts w:hint="eastAsia" w:ascii="黑体" w:hAnsi="黑体" w:eastAsia="黑体" w:cs="黑体"/>
          <w:b w:val="0"/>
          <w:bCs w:val="0"/>
          <w:color w:val="auto"/>
          <w:kern w:val="2"/>
          <w:sz w:val="32"/>
          <w:szCs w:val="32"/>
          <w:lang w:val="en-US" w:eastAsia="zh-CN" w:bidi="bo-CN"/>
        </w:rPr>
      </w:pPr>
      <w:r>
        <w:rPr>
          <w:rFonts w:hint="eastAsia" w:ascii="黑体" w:hAnsi="黑体" w:eastAsia="黑体" w:cs="黑体"/>
          <w:b w:val="0"/>
          <w:bCs w:val="0"/>
          <w:color w:val="auto"/>
          <w:kern w:val="2"/>
          <w:sz w:val="32"/>
          <w:szCs w:val="32"/>
          <w:lang w:val="en-US" w:eastAsia="zh-CN" w:bidi="bo-CN"/>
        </w:rPr>
        <w:t>十二、补偿款的支付方式</w:t>
      </w:r>
    </w:p>
    <w:p>
      <w:pPr>
        <w:pStyle w:val="8"/>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rPr>
        <w:t>一</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lang w:val="en-US"/>
        </w:rPr>
        <w:t>交付</w:t>
      </w:r>
      <w:r>
        <w:rPr>
          <w:rFonts w:hint="eastAsia" w:ascii="仿宋_GB2312" w:hAnsi="仿宋_GB2312" w:eastAsia="仿宋_GB2312" w:cs="仿宋_GB2312"/>
          <w:color w:val="auto"/>
          <w:sz w:val="32"/>
          <w:szCs w:val="32"/>
          <w:highlight w:val="none"/>
          <w:lang w:val="en-US" w:eastAsia="zh-CN"/>
        </w:rPr>
        <w:t>征收</w:t>
      </w:r>
      <w:r>
        <w:rPr>
          <w:rFonts w:hint="eastAsia" w:ascii="仿宋_GB2312" w:hAnsi="仿宋_GB2312" w:eastAsia="仿宋_GB2312" w:cs="仿宋_GB2312"/>
          <w:color w:val="auto"/>
          <w:sz w:val="32"/>
          <w:szCs w:val="32"/>
          <w:highlight w:val="none"/>
        </w:rPr>
        <w:t>房屋，结清水电等所有费用</w:t>
      </w:r>
      <w:r>
        <w:rPr>
          <w:rFonts w:hint="eastAsia" w:ascii="仿宋_GB2312" w:hAnsi="仿宋_GB2312" w:eastAsia="仿宋_GB2312" w:cs="仿宋_GB2312"/>
          <w:color w:val="auto"/>
          <w:sz w:val="32"/>
          <w:szCs w:val="32"/>
          <w:highlight w:val="none"/>
          <w:lang w:val="en-US"/>
        </w:rPr>
        <w:t>后</w:t>
      </w:r>
      <w:r>
        <w:rPr>
          <w:rFonts w:hint="eastAsia" w:ascii="仿宋_GB2312" w:hAnsi="仿宋_GB2312" w:eastAsia="仿宋_GB2312" w:cs="仿宋_GB2312"/>
          <w:color w:val="auto"/>
          <w:sz w:val="32"/>
          <w:szCs w:val="32"/>
          <w:highlight w:val="none"/>
        </w:rPr>
        <w:t>，由</w:t>
      </w:r>
      <w:r>
        <w:rPr>
          <w:rFonts w:hint="eastAsia" w:ascii="仿宋_GB2312" w:hAnsi="仿宋_GB2312" w:eastAsia="仿宋_GB2312" w:cs="仿宋_GB2312"/>
          <w:color w:val="auto"/>
          <w:sz w:val="32"/>
          <w:szCs w:val="32"/>
          <w:highlight w:val="none"/>
          <w:lang w:val="en-US" w:eastAsia="zh-CN"/>
        </w:rPr>
        <w:t>征收实施部门</w:t>
      </w:r>
      <w:r>
        <w:rPr>
          <w:rFonts w:hint="eastAsia" w:ascii="仿宋_GB2312" w:hAnsi="仿宋_GB2312" w:eastAsia="仿宋_GB2312" w:cs="仿宋_GB2312"/>
          <w:color w:val="auto"/>
          <w:sz w:val="32"/>
          <w:szCs w:val="32"/>
          <w:highlight w:val="none"/>
          <w:lang w:val="en-US"/>
        </w:rPr>
        <w:t>支付搬迁费</w:t>
      </w:r>
      <w:r>
        <w:rPr>
          <w:rFonts w:hint="eastAsia" w:ascii="仿宋_GB2312" w:hAnsi="仿宋_GB2312" w:eastAsia="仿宋_GB2312" w:cs="仿宋_GB2312"/>
          <w:color w:val="auto"/>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highlight w:val="none"/>
        </w:rPr>
        <w:sectPr>
          <w:headerReference r:id="rId3" w:type="first"/>
          <w:footerReference r:id="rId5" w:type="first"/>
          <w:footerReference r:id="rId4" w:type="default"/>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rPr>
        <w:t>二</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color w:val="auto"/>
          <w:sz w:val="32"/>
          <w:szCs w:val="32"/>
          <w:highlight w:val="none"/>
        </w:rPr>
        <w:t>交付</w:t>
      </w:r>
      <w:r>
        <w:rPr>
          <w:rFonts w:hint="eastAsia" w:ascii="仿宋_GB2312" w:hAnsi="仿宋_GB2312" w:eastAsia="仿宋_GB2312" w:cs="仿宋_GB2312"/>
          <w:color w:val="auto"/>
          <w:sz w:val="32"/>
          <w:szCs w:val="32"/>
          <w:highlight w:val="none"/>
          <w:lang w:val="en-US" w:eastAsia="zh-CN"/>
        </w:rPr>
        <w:t>搬迁</w:t>
      </w:r>
      <w:r>
        <w:rPr>
          <w:rFonts w:hint="eastAsia" w:ascii="仿宋_GB2312" w:hAnsi="仿宋_GB2312" w:eastAsia="仿宋_GB2312" w:cs="仿宋_GB2312"/>
          <w:color w:val="auto"/>
          <w:sz w:val="32"/>
          <w:szCs w:val="32"/>
          <w:highlight w:val="none"/>
        </w:rPr>
        <w:t>房屋权属证书原件及办理完毕权属证书注销</w:t>
      </w:r>
      <w:r>
        <w:rPr>
          <w:rFonts w:hint="eastAsia" w:ascii="仿宋_GB2312" w:hAnsi="仿宋_GB2312" w:eastAsia="仿宋_GB2312" w:cs="仿宋_GB2312"/>
          <w:color w:val="auto"/>
          <w:sz w:val="32"/>
          <w:szCs w:val="32"/>
          <w:highlight w:val="none"/>
          <w:lang w:val="en-US"/>
        </w:rPr>
        <w:t>后</w:t>
      </w:r>
      <w:r>
        <w:rPr>
          <w:rFonts w:hint="eastAsia" w:ascii="仿宋_GB2312" w:hAnsi="仿宋_GB2312" w:eastAsia="仿宋_GB2312" w:cs="仿宋_GB2312"/>
          <w:color w:val="auto"/>
          <w:sz w:val="32"/>
          <w:szCs w:val="32"/>
          <w:highlight w:val="none"/>
        </w:rPr>
        <w:t>（已办理权属登记的），</w:t>
      </w:r>
      <w:r>
        <w:rPr>
          <w:rFonts w:hint="eastAsia" w:ascii="仿宋_GB2312" w:hAnsi="仿宋_GB2312" w:eastAsia="仿宋_GB2312" w:cs="仿宋_GB2312"/>
          <w:color w:val="auto"/>
          <w:sz w:val="32"/>
          <w:szCs w:val="32"/>
          <w:highlight w:val="none"/>
          <w:lang w:val="en-US" w:eastAsia="zh-CN"/>
        </w:rPr>
        <w:t>经</w:t>
      </w:r>
      <w:r>
        <w:rPr>
          <w:rFonts w:hint="eastAsia" w:ascii="仿宋_GB2312" w:hAnsi="仿宋_GB2312" w:eastAsia="仿宋_GB2312" w:cs="仿宋_GB2312"/>
          <w:color w:val="auto"/>
          <w:sz w:val="32"/>
          <w:szCs w:val="32"/>
          <w:highlight w:val="none"/>
          <w:lang w:val="en-US"/>
        </w:rPr>
        <w:t>审计后</w:t>
      </w:r>
      <w:r>
        <w:rPr>
          <w:rFonts w:hint="eastAsia" w:ascii="仿宋_GB2312" w:hAnsi="仿宋_GB2312" w:eastAsia="仿宋_GB2312" w:cs="仿宋_GB2312"/>
          <w:color w:val="auto"/>
          <w:sz w:val="32"/>
          <w:szCs w:val="32"/>
          <w:highlight w:val="none"/>
        </w:rPr>
        <w:t>一次性支付房屋及其他地上附着物价值补偿、室内自行装修装饰补偿、</w:t>
      </w:r>
      <w:r>
        <w:rPr>
          <w:rFonts w:hint="eastAsia" w:ascii="仿宋_GB2312" w:hAnsi="仿宋_GB2312" w:eastAsia="仿宋_GB2312" w:cs="仿宋_GB2312"/>
          <w:color w:val="auto"/>
          <w:kern w:val="2"/>
          <w:sz w:val="32"/>
          <w:szCs w:val="32"/>
          <w:highlight w:val="none"/>
          <w:lang w:val="en-US" w:eastAsia="zh-CN" w:bidi="bo-CN"/>
        </w:rPr>
        <w:t>临时安置费</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停产停业损失补偿费、</w:t>
      </w:r>
      <w:r>
        <w:rPr>
          <w:rFonts w:hint="eastAsia" w:ascii="仿宋_GB2312" w:hAnsi="仿宋_GB2312" w:eastAsia="仿宋_GB2312" w:cs="仿宋_GB2312"/>
          <w:color w:val="auto"/>
          <w:sz w:val="32"/>
          <w:szCs w:val="32"/>
          <w:highlight w:val="none"/>
          <w:lang w:val="en-US" w:eastAsia="zh-CN"/>
        </w:rPr>
        <w:t>土地出让金、</w:t>
      </w:r>
      <w:r>
        <w:rPr>
          <w:rFonts w:hint="eastAsia" w:ascii="仿宋_GB2312" w:hAnsi="仿宋_GB2312" w:eastAsia="仿宋_GB2312" w:cs="仿宋_GB2312"/>
          <w:color w:val="auto"/>
          <w:sz w:val="32"/>
          <w:szCs w:val="32"/>
          <w:highlight w:val="none"/>
        </w:rPr>
        <w:t>签约奖励。</w:t>
      </w:r>
      <w:r>
        <w:rPr>
          <w:rFonts w:hint="eastAsia" w:ascii="仿宋_GB2312" w:hAnsi="仿宋_GB2312" w:eastAsia="仿宋_GB2312" w:cs="仿宋_GB2312"/>
          <w:color w:val="auto"/>
          <w:sz w:val="32"/>
          <w:szCs w:val="32"/>
          <w:highlight w:val="none"/>
        </w:rPr>
        <w:cr/>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bCs/>
          <w:i w:val="0"/>
          <w:caps w:val="0"/>
          <w:color w:val="auto"/>
          <w:spacing w:val="0"/>
          <w:w w:val="100"/>
          <w:sz w:val="32"/>
          <w:szCs w:val="32"/>
          <w:lang w:val="en-US" w:eastAsia="zh-CN"/>
        </w:rPr>
      </w:pPr>
      <w:r>
        <w:rPr>
          <w:rFonts w:hint="eastAsia" w:ascii="黑体" w:hAnsi="黑体" w:eastAsia="黑体" w:cs="黑体"/>
          <w:b w:val="0"/>
          <w:bCs w:val="0"/>
          <w:color w:val="auto"/>
          <w:kern w:val="2"/>
          <w:sz w:val="32"/>
          <w:szCs w:val="32"/>
          <w:lang w:val="en-US" w:eastAsia="zh-CN" w:bidi="bo-CN"/>
        </w:rPr>
        <w:t xml:space="preserve">    十三、</w:t>
      </w:r>
      <w:r>
        <w:rPr>
          <w:rFonts w:hint="eastAsia" w:ascii="黑体" w:hAnsi="黑体" w:eastAsia="黑体" w:cs="黑体"/>
          <w:b/>
          <w:bCs/>
          <w:i w:val="0"/>
          <w:caps w:val="0"/>
          <w:color w:val="auto"/>
          <w:spacing w:val="0"/>
          <w:w w:val="100"/>
          <w:sz w:val="32"/>
          <w:szCs w:val="32"/>
          <w:lang w:val="en-US" w:eastAsia="zh-CN"/>
        </w:rPr>
        <w:t>特殊情况房屋处理</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baseline"/>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一）征收房屋及其附属物有下列情形之一的，由征收实施部门提出补偿安置方案，经公证机关公证，并办理证据保全、补偿费提存后，报县人民政府审核同意，并在房屋征收范围内予以公告，在法定期限内申请人民法院强制执行：</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baseline"/>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1.产权不明或所有权人下落不明的；</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baseline"/>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2.产权有纠纷尚未解决又必须拆除的。</w:t>
      </w:r>
    </w:p>
    <w:p>
      <w:pPr>
        <w:pStyle w:val="8"/>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（二）征收房屋存在</w:t>
      </w:r>
      <w:r>
        <w:rPr>
          <w:rFonts w:hint="eastAsia" w:ascii="仿宋_GB2312" w:hAnsi="仿宋_GB2312" w:eastAsia="仿宋_GB2312" w:cs="仿宋_GB2312"/>
          <w:b w:val="0"/>
          <w:bCs w:val="0"/>
          <w:color w:val="auto"/>
          <w:sz w:val="32"/>
          <w:szCs w:val="32"/>
          <w:highlight w:val="none"/>
        </w:rPr>
        <w:t>租赁关系</w:t>
      </w:r>
      <w:r>
        <w:rPr>
          <w:rFonts w:hint="eastAsia" w:ascii="仿宋_GB2312" w:hAnsi="仿宋_GB2312" w:eastAsia="仿宋_GB2312" w:cs="仿宋_GB2312"/>
          <w:b w:val="0"/>
          <w:bCs w:val="0"/>
          <w:color w:val="auto"/>
          <w:sz w:val="32"/>
          <w:szCs w:val="32"/>
          <w:highlight w:val="none"/>
          <w:lang w:val="en-US" w:eastAsia="zh-CN"/>
        </w:rPr>
        <w:t>及</w:t>
      </w:r>
      <w:r>
        <w:rPr>
          <w:rFonts w:hint="eastAsia" w:ascii="仿宋_GB2312" w:hAnsi="仿宋_GB2312" w:eastAsia="仿宋_GB2312" w:cs="仿宋_GB2312"/>
          <w:b w:val="0"/>
          <w:bCs w:val="0"/>
          <w:color w:val="auto"/>
          <w:sz w:val="32"/>
          <w:szCs w:val="32"/>
          <w:highlight w:val="none"/>
        </w:rPr>
        <w:t>抵押、查封等产权纠纷问题</w:t>
      </w:r>
      <w:r>
        <w:rPr>
          <w:rFonts w:hint="eastAsia" w:ascii="仿宋_GB2312" w:hAnsi="仿宋_GB2312" w:eastAsia="仿宋_GB2312" w:cs="仿宋_GB2312"/>
          <w:b w:val="0"/>
          <w:bCs w:val="0"/>
          <w:color w:val="auto"/>
          <w:sz w:val="32"/>
          <w:szCs w:val="32"/>
          <w:highlight w:val="none"/>
          <w:lang w:val="en-US" w:eastAsia="zh-CN"/>
        </w:rPr>
        <w:t>的</w:t>
      </w:r>
      <w:r>
        <w:rPr>
          <w:rFonts w:hint="eastAsia" w:ascii="仿宋_GB2312" w:hAnsi="仿宋_GB2312" w:eastAsia="仿宋_GB2312" w:cs="仿宋_GB2312"/>
          <w:b w:val="0"/>
          <w:bCs w:val="0"/>
          <w:color w:val="auto"/>
          <w:sz w:val="32"/>
          <w:szCs w:val="32"/>
          <w:highlight w:val="none"/>
        </w:rPr>
        <w:t>，由</w:t>
      </w:r>
      <w:r>
        <w:rPr>
          <w:rFonts w:hint="eastAsia" w:ascii="仿宋_GB2312" w:hAnsi="仿宋_GB2312" w:eastAsia="仿宋_GB2312" w:cs="仿宋_GB2312"/>
          <w:b w:val="0"/>
          <w:bCs w:val="0"/>
          <w:color w:val="auto"/>
          <w:kern w:val="2"/>
          <w:sz w:val="32"/>
          <w:szCs w:val="32"/>
          <w:highlight w:val="none"/>
          <w:lang w:val="en-US" w:eastAsia="zh-CN" w:bidi="bo-CN"/>
        </w:rPr>
        <w:t>被征收人</w:t>
      </w:r>
      <w:r>
        <w:rPr>
          <w:rFonts w:hint="eastAsia" w:ascii="仿宋_GB2312" w:hAnsi="仿宋_GB2312" w:eastAsia="仿宋_GB2312" w:cs="仿宋_GB2312"/>
          <w:b w:val="0"/>
          <w:bCs w:val="0"/>
          <w:color w:val="auto"/>
          <w:sz w:val="32"/>
          <w:szCs w:val="32"/>
          <w:highlight w:val="none"/>
        </w:rPr>
        <w:t>依法自行解决。</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baseline"/>
        <w:rPr>
          <w:rFonts w:hint="eastAsia" w:ascii="黑体" w:hAnsi="黑体" w:eastAsia="黑体" w:cs="黑体"/>
          <w:b w:val="0"/>
          <w:bCs w:val="0"/>
          <w:i w:val="0"/>
          <w:caps w:val="0"/>
          <w:color w:val="auto"/>
          <w:spacing w:val="0"/>
          <w:w w:val="100"/>
          <w:sz w:val="32"/>
          <w:szCs w:val="32"/>
          <w:lang w:val="en-US" w:eastAsia="zh-CN"/>
        </w:rPr>
      </w:pPr>
      <w:r>
        <w:rPr>
          <w:rFonts w:hint="eastAsia" w:ascii="黑体" w:hAnsi="黑体" w:eastAsia="黑体" w:cs="黑体"/>
          <w:b w:val="0"/>
          <w:bCs w:val="0"/>
          <w:color w:val="auto"/>
          <w:kern w:val="2"/>
          <w:sz w:val="32"/>
          <w:szCs w:val="32"/>
          <w:lang w:val="en-US" w:eastAsia="zh-CN" w:bidi="bo-CN"/>
        </w:rPr>
        <w:t>十四、</w:t>
      </w:r>
      <w:r>
        <w:rPr>
          <w:rFonts w:hint="eastAsia" w:ascii="黑体" w:hAnsi="黑体" w:eastAsia="黑体" w:cs="黑体"/>
          <w:b w:val="0"/>
          <w:bCs w:val="0"/>
          <w:i w:val="0"/>
          <w:caps w:val="0"/>
          <w:color w:val="auto"/>
          <w:spacing w:val="0"/>
          <w:w w:val="100"/>
          <w:sz w:val="32"/>
          <w:szCs w:val="32"/>
          <w:lang w:val="en-US" w:eastAsia="zh-CN"/>
        </w:rPr>
        <w:t>其他</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baseline"/>
        <w:rPr>
          <w:rFonts w:hint="eastAsia" w:ascii="黑体" w:hAnsi="黑体" w:eastAsia="黑体" w:cs="黑体"/>
          <w:b w:val="0"/>
          <w:bCs w:val="0"/>
          <w:i w:val="0"/>
          <w:caps w:val="0"/>
          <w:color w:val="auto"/>
          <w:spacing w:val="0"/>
          <w:w w:val="100"/>
          <w:sz w:val="32"/>
          <w:szCs w:val="32"/>
          <w:lang w:val="en-US" w:eastAsia="zh-CN"/>
        </w:rPr>
      </w:pPr>
      <w:r>
        <w:rPr>
          <w:rFonts w:hint="eastAsia" w:ascii="仿宋_GB2312" w:hAnsi="仿宋_GB2312" w:eastAsia="仿宋_GB2312" w:cs="仿宋_GB2312"/>
          <w:b w:val="0"/>
          <w:bCs w:val="0"/>
          <w:color w:val="auto"/>
          <w:sz w:val="32"/>
          <w:szCs w:val="32"/>
          <w:lang w:val="en-US" w:eastAsia="zh-CN"/>
        </w:rPr>
        <w:t>（一）</w:t>
      </w:r>
      <w:r>
        <w:rPr>
          <w:rFonts w:hint="eastAsia" w:ascii="仿宋_GB2312" w:hAnsi="仿宋_GB2312" w:eastAsia="仿宋_GB2312" w:cs="仿宋_GB2312"/>
          <w:color w:val="auto"/>
          <w:kern w:val="2"/>
          <w:sz w:val="32"/>
          <w:szCs w:val="32"/>
          <w:highlight w:val="none"/>
          <w:lang w:val="en-US" w:eastAsia="zh-CN" w:bidi="bo-CN"/>
        </w:rPr>
        <w:t>被征收人</w:t>
      </w:r>
      <w:r>
        <w:rPr>
          <w:rFonts w:hint="eastAsia" w:ascii="仿宋_GB2312" w:hAnsi="仿宋_GB2312" w:eastAsia="仿宋_GB2312" w:cs="仿宋_GB2312"/>
          <w:b w:val="0"/>
          <w:bCs w:val="0"/>
          <w:color w:val="auto"/>
          <w:sz w:val="32"/>
          <w:szCs w:val="32"/>
          <w:lang w:val="en-US" w:eastAsia="zh-CN"/>
        </w:rPr>
        <w:t>在签订征收补偿协议时，应当将征收房屋的所有权证、国有土地使用权证或不动产权证等权证一并交给征收实施部门，由县自然资源确权登记中心予以注销。</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baseline"/>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（二）拆除征收范围内房屋及附属物，由征收实施部门统一拆除。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r>
        <w:rPr>
          <w:rFonts w:hint="eastAsia" w:ascii="黑体" w:hAnsi="黑体" w:eastAsia="黑体" w:cs="黑体"/>
          <w:b w:val="0"/>
          <w:bCs w:val="0"/>
          <w:color w:val="auto"/>
          <w:kern w:val="2"/>
          <w:sz w:val="32"/>
          <w:szCs w:val="32"/>
          <w:lang w:val="en-US" w:eastAsia="zh-CN" w:bidi="bo-CN"/>
        </w:rPr>
        <w:t>十五、</w:t>
      </w:r>
      <w:r>
        <w:rPr>
          <w:rFonts w:hint="eastAsia" w:ascii="仿宋_GB2312" w:hAnsi="仿宋_GB2312" w:eastAsia="仿宋_GB2312" w:cs="仿宋_GB2312"/>
          <w:b/>
          <w:bCs/>
          <w:color w:val="auto"/>
          <w:sz w:val="32"/>
          <w:szCs w:val="32"/>
          <w:highlight w:val="none"/>
          <w:lang w:val="en-US" w:eastAsia="zh-CN"/>
        </w:rPr>
        <w:t>本征收补偿安置方案未尽事项，依据有关法律法规政策规定办理。</w:t>
      </w:r>
      <w:r>
        <w:rPr>
          <w:rFonts w:hint="eastAsia" w:ascii="仿宋_GB2312" w:hAnsi="仿宋_GB2312" w:eastAsia="仿宋_GB2312" w:cs="仿宋_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800"/>
        <w:jc w:val="both"/>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880" w:firstLineChars="800"/>
        <w:jc w:val="both"/>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880" w:firstLineChars="800"/>
        <w:jc w:val="both"/>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880" w:firstLineChars="800"/>
        <w:jc w:val="both"/>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p>
    <w:p>
      <w:pPr>
        <w:jc w:val="both"/>
        <w:rPr>
          <w:rFonts w:hint="eastAsia" w:ascii="方正小标宋简体" w:hAnsi="方正小标宋简体" w:eastAsia="方正小标宋简体" w:cs="方正小标宋简体"/>
          <w:b w:val="0"/>
          <w:bCs w:val="0"/>
          <w:color w:val="auto"/>
          <w:sz w:val="40"/>
          <w:szCs w:val="40"/>
          <w:highlight w:val="none"/>
          <w:lang w:val="en-US" w:eastAsia="zh-CN"/>
        </w:rPr>
        <w:sectPr>
          <w:footerReference r:id="rId6" w:type="default"/>
          <w:pgSz w:w="11906" w:h="16838"/>
          <w:pgMar w:top="2098" w:right="1474" w:bottom="1984" w:left="158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3240" w:firstLineChars="900"/>
        <w:jc w:val="both"/>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征 收 范 围 图</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rPr>
          <w:rFonts w:hint="eastAsia" w:ascii="仿宋_GB2312" w:hAnsi="仿宋_GB2312" w:eastAsia="仿宋_GB2312" w:cs="仿宋_GB2312"/>
          <w:b w:val="0"/>
          <w:bCs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rPr>
          <w:rFonts w:hint="default" w:ascii="仿宋" w:hAnsi="仿宋" w:eastAsia="仿宋" w:cs="仿宋"/>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农行家属院、老干部家属院</w:t>
      </w:r>
    </w:p>
    <w:p>
      <w:pPr>
        <w:rPr>
          <w:color w:val="auto"/>
          <w:highlight w:val="none"/>
        </w:rPr>
      </w:pPr>
      <w:r>
        <w:rPr>
          <w:rFonts w:hint="default" w:ascii="仿宋_GB2312" w:hAnsi="仿宋_GB2312" w:eastAsia="仿宋_GB2312" w:cs="仿宋_GB2312"/>
          <w:b w:val="0"/>
          <w:bCs w:val="0"/>
          <w:color w:val="auto"/>
          <w:sz w:val="32"/>
          <w:szCs w:val="32"/>
          <w:highlight w:val="none"/>
          <w:lang w:val="en-US" w:eastAsia="zh-CN"/>
        </w:rPr>
        <w:drawing>
          <wp:inline distT="0" distB="0" distL="0" distR="0">
            <wp:extent cx="5321935" cy="3282315"/>
            <wp:effectExtent l="0" t="0" r="12065" b="19685"/>
            <wp:docPr id="1" name="图片 2" descr="农行家属院图"/>
            <wp:cNvGraphicFramePr/>
            <a:graphic xmlns:a="http://schemas.openxmlformats.org/drawingml/2006/main">
              <a:graphicData uri="http://schemas.openxmlformats.org/drawingml/2006/picture">
                <pic:pic xmlns:pic="http://schemas.openxmlformats.org/drawingml/2006/picture">
                  <pic:nvPicPr>
                    <pic:cNvPr id="1" name="图片 2" descr="农行家属院图"/>
                    <pic:cNvPicPr/>
                  </pic:nvPicPr>
                  <pic:blipFill>
                    <a:blip r:embed="rId9"/>
                    <a:srcRect/>
                    <a:stretch>
                      <a:fillRect/>
                    </a:stretch>
                  </pic:blipFill>
                  <pic:spPr>
                    <a:xfrm>
                      <a:off x="0" y="0"/>
                      <a:ext cx="5321935" cy="3282315"/>
                    </a:xfrm>
                    <a:prstGeom prst="rect">
                      <a:avLst/>
                    </a:prstGeom>
                    <a:noFill/>
                    <a:ln>
                      <a:noFill/>
                    </a:ln>
                  </pic:spPr>
                </pic:pic>
              </a:graphicData>
            </a:graphic>
          </wp:inline>
        </w:drawing>
      </w: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30F0BE-CC70-4DC9-B084-30E504D3E4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80"/>
    <w:family w:val="swiss"/>
    <w:pitch w:val="default"/>
    <w:sig w:usb0="00000000" w:usb1="00000000" w:usb2="0000003F" w:usb3="00000000" w:csb0="603F01FF" w:csb1="FFFF0000"/>
  </w:font>
  <w:font w:name="Arial">
    <w:panose1 w:val="020B0604020202020204"/>
    <w:charset w:val="00"/>
    <w:family w:val="auto"/>
    <w:pitch w:val="default"/>
    <w:sig w:usb0="E0002EFF" w:usb1="C000785B" w:usb2="00000009" w:usb3="00000000" w:csb0="400001FF" w:csb1="FFFF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2" w:fontKey="{01070D81-DFDD-4B63-B54E-48FB0CCFBE19}"/>
  </w:font>
  <w:font w:name="仿宋_GB2312">
    <w:panose1 w:val="02010609030101010101"/>
    <w:charset w:val="86"/>
    <w:family w:val="modern"/>
    <w:pitch w:val="default"/>
    <w:sig w:usb0="00000001" w:usb1="080E0000" w:usb2="00000000" w:usb3="00000000" w:csb0="00040000" w:csb1="00000000"/>
    <w:embedRegular r:id="rId3" w:fontKey="{10A9540D-B9D0-48E2-B77C-D209AE5F4DE8}"/>
  </w:font>
  <w:font w:name="仿宋">
    <w:panose1 w:val="02010609060101010101"/>
    <w:charset w:val="86"/>
    <w:family w:val="auto"/>
    <w:pitch w:val="default"/>
    <w:sig w:usb0="800002BF" w:usb1="38CF7CFA" w:usb2="00000016" w:usb3="00000000" w:csb0="00040001" w:csb1="00000000"/>
    <w:embedRegular r:id="rId4" w:fontKey="{1BAAD3BB-59A3-40E5-B528-C3A521466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rPr>
                              <w:rFonts w:hint="eastAsia"/>
                              <w:lang w:val="en-US" w:eastAsia="zh-CN"/>
                            </w:rPr>
                            <w:t>1</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3"/>
                    </w:pPr>
                    <w:r>
                      <w:rPr>
                        <w:rFonts w:hint="eastAsia"/>
                        <w:lang w:val="en-US" w:eastAsia="zh-CN"/>
                      </w:rPr>
                      <w:t>1</w:t>
                    </w: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rPr>
                              <w:rFonts w:hint="default" w:eastAsia="宋体"/>
                              <w:lang w:val="en-US" w:eastAsia="zh-CN"/>
                            </w:rPr>
                          </w:pPr>
                          <w:r>
                            <w:rPr>
                              <w:rFonts w:hint="eastAsia"/>
                              <w:lang w:val="en-US" w:eastAsia="zh-CN"/>
                            </w:rPr>
                            <w:t>12</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3"/>
                      <w:rPr>
                        <w:rFonts w:hint="default" w:eastAsia="宋体"/>
                        <w:lang w:val="en-US" w:eastAsia="zh-CN"/>
                      </w:rPr>
                    </w:pPr>
                    <w:r>
                      <w:rPr>
                        <w:rFonts w:hint="eastAsia"/>
                        <w:lang w:val="en-US" w:eastAsia="zh-CN"/>
                      </w:rPr>
                      <w:t>12</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C5EFB"/>
    <w:multiLevelType w:val="singleLevel"/>
    <w:tmpl w:val="ABDC5EFB"/>
    <w:lvl w:ilvl="0" w:tentative="0">
      <w:start w:val="1"/>
      <w:numFmt w:val="decimal"/>
      <w:suff w:val="nothing"/>
      <w:lvlText w:val="（%1）"/>
      <w:lvlJc w:val="left"/>
    </w:lvl>
  </w:abstractNum>
  <w:abstractNum w:abstractNumId="1">
    <w:nsid w:val="00000001"/>
    <w:multiLevelType w:val="singleLevel"/>
    <w:tmpl w:val="00000001"/>
    <w:lvl w:ilvl="0" w:tentative="0">
      <w:start w:val="4"/>
      <w:numFmt w:val="chineseCounting"/>
      <w:suff w:val="nothing"/>
      <w:lvlText w:val="%1、"/>
      <w:lvlJc w:val="left"/>
      <w:rPr>
        <w:rFonts w:hint="eastAsia"/>
        <w:color w:val="00000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473C2"/>
    <w:rsid w:val="075785C0"/>
    <w:rsid w:val="0AF54305"/>
    <w:rsid w:val="0BEF79AC"/>
    <w:rsid w:val="0C5AB2FD"/>
    <w:rsid w:val="0D3A1775"/>
    <w:rsid w:val="0DBB4571"/>
    <w:rsid w:val="0DEF95A7"/>
    <w:rsid w:val="0F9C5191"/>
    <w:rsid w:val="0FCF8AE2"/>
    <w:rsid w:val="115E1AEA"/>
    <w:rsid w:val="13760195"/>
    <w:rsid w:val="16F7B938"/>
    <w:rsid w:val="192B3219"/>
    <w:rsid w:val="19947BE9"/>
    <w:rsid w:val="19FF26C8"/>
    <w:rsid w:val="1B27C0E1"/>
    <w:rsid w:val="1B751B6D"/>
    <w:rsid w:val="1BAF03CF"/>
    <w:rsid w:val="1BBFBA49"/>
    <w:rsid w:val="1DBF0C72"/>
    <w:rsid w:val="1F7F60D4"/>
    <w:rsid w:val="1FF7851C"/>
    <w:rsid w:val="23DF1F97"/>
    <w:rsid w:val="274E99EB"/>
    <w:rsid w:val="27FF254A"/>
    <w:rsid w:val="2B9D3036"/>
    <w:rsid w:val="2BBF38D5"/>
    <w:rsid w:val="2BFFCF08"/>
    <w:rsid w:val="2D63D151"/>
    <w:rsid w:val="2DAD8660"/>
    <w:rsid w:val="2DEEDF3D"/>
    <w:rsid w:val="2DF379C3"/>
    <w:rsid w:val="2DFBBACA"/>
    <w:rsid w:val="2E1718C1"/>
    <w:rsid w:val="2F5E1F22"/>
    <w:rsid w:val="2FFFB7C6"/>
    <w:rsid w:val="306F732B"/>
    <w:rsid w:val="32673E26"/>
    <w:rsid w:val="32F32A21"/>
    <w:rsid w:val="332A7E02"/>
    <w:rsid w:val="33D54A59"/>
    <w:rsid w:val="33D9CAF3"/>
    <w:rsid w:val="34187BC6"/>
    <w:rsid w:val="345FA02E"/>
    <w:rsid w:val="35E50E88"/>
    <w:rsid w:val="35FFF8E3"/>
    <w:rsid w:val="373784DA"/>
    <w:rsid w:val="37AD3A76"/>
    <w:rsid w:val="37DF9A31"/>
    <w:rsid w:val="37FB1EDC"/>
    <w:rsid w:val="37FF0A87"/>
    <w:rsid w:val="37FF5CC3"/>
    <w:rsid w:val="37FFD422"/>
    <w:rsid w:val="387EB793"/>
    <w:rsid w:val="38F3BB91"/>
    <w:rsid w:val="396FD746"/>
    <w:rsid w:val="39FF9D7F"/>
    <w:rsid w:val="39FFB6A1"/>
    <w:rsid w:val="3BB30F9F"/>
    <w:rsid w:val="3BE7F746"/>
    <w:rsid w:val="3BF56214"/>
    <w:rsid w:val="3BFE5CB8"/>
    <w:rsid w:val="3BFF42FA"/>
    <w:rsid w:val="3C1D466B"/>
    <w:rsid w:val="3CBC7337"/>
    <w:rsid w:val="3CD62B98"/>
    <w:rsid w:val="3DB110CD"/>
    <w:rsid w:val="3DBD4E6A"/>
    <w:rsid w:val="3E3F6810"/>
    <w:rsid w:val="3EB7DE76"/>
    <w:rsid w:val="3ED23AEF"/>
    <w:rsid w:val="3EF79793"/>
    <w:rsid w:val="3F7F8BFF"/>
    <w:rsid w:val="3FAFE8DD"/>
    <w:rsid w:val="3FBB6B99"/>
    <w:rsid w:val="3FBD39C3"/>
    <w:rsid w:val="3FBD8B86"/>
    <w:rsid w:val="3FBF7463"/>
    <w:rsid w:val="3FCC2A97"/>
    <w:rsid w:val="3FDF33E9"/>
    <w:rsid w:val="3FED2B75"/>
    <w:rsid w:val="3FEDD7A7"/>
    <w:rsid w:val="3FF19385"/>
    <w:rsid w:val="3FF97E61"/>
    <w:rsid w:val="47F7282F"/>
    <w:rsid w:val="4943B11D"/>
    <w:rsid w:val="4A9D5C9D"/>
    <w:rsid w:val="4B7FBA80"/>
    <w:rsid w:val="4B978973"/>
    <w:rsid w:val="4BFAFBEC"/>
    <w:rsid w:val="4CF5A488"/>
    <w:rsid w:val="4DCD1D5B"/>
    <w:rsid w:val="4DFFD609"/>
    <w:rsid w:val="51FFBFFC"/>
    <w:rsid w:val="53F79AB1"/>
    <w:rsid w:val="53F8136C"/>
    <w:rsid w:val="53FFE5CE"/>
    <w:rsid w:val="55B70712"/>
    <w:rsid w:val="56CFA7BF"/>
    <w:rsid w:val="56DF2E3F"/>
    <w:rsid w:val="56FF4C11"/>
    <w:rsid w:val="5725FFA3"/>
    <w:rsid w:val="573F38D5"/>
    <w:rsid w:val="57752448"/>
    <w:rsid w:val="57F74174"/>
    <w:rsid w:val="59F86E73"/>
    <w:rsid w:val="59FB2E5D"/>
    <w:rsid w:val="5B37B62D"/>
    <w:rsid w:val="5B8CBC9E"/>
    <w:rsid w:val="5BBFA268"/>
    <w:rsid w:val="5BE70B00"/>
    <w:rsid w:val="5BF51EDD"/>
    <w:rsid w:val="5BF5FEE8"/>
    <w:rsid w:val="5BF66BB9"/>
    <w:rsid w:val="5BFD75D1"/>
    <w:rsid w:val="5BFDAD01"/>
    <w:rsid w:val="5C770B6D"/>
    <w:rsid w:val="5CA534C7"/>
    <w:rsid w:val="5D6E66B6"/>
    <w:rsid w:val="5DD66F70"/>
    <w:rsid w:val="5DDA2297"/>
    <w:rsid w:val="5DFB7CBD"/>
    <w:rsid w:val="5DFE5362"/>
    <w:rsid w:val="5EEFD96C"/>
    <w:rsid w:val="5EF6AFA7"/>
    <w:rsid w:val="5EF9851D"/>
    <w:rsid w:val="5EFDF1BE"/>
    <w:rsid w:val="5F3B1B0A"/>
    <w:rsid w:val="5F5F20EE"/>
    <w:rsid w:val="5F6562F2"/>
    <w:rsid w:val="5F7E0B00"/>
    <w:rsid w:val="5F99A6B7"/>
    <w:rsid w:val="5FCF1830"/>
    <w:rsid w:val="5FCF2379"/>
    <w:rsid w:val="5FD745B0"/>
    <w:rsid w:val="5FD7F867"/>
    <w:rsid w:val="5FDFE71C"/>
    <w:rsid w:val="5FED6BC5"/>
    <w:rsid w:val="5FF5AF00"/>
    <w:rsid w:val="5FFB2D39"/>
    <w:rsid w:val="5FFD6F06"/>
    <w:rsid w:val="5FFF16AB"/>
    <w:rsid w:val="5FFF4809"/>
    <w:rsid w:val="5FFF9FBC"/>
    <w:rsid w:val="60DBAD0C"/>
    <w:rsid w:val="63F6D8EE"/>
    <w:rsid w:val="63F982EA"/>
    <w:rsid w:val="66FB6EE7"/>
    <w:rsid w:val="679ED3F0"/>
    <w:rsid w:val="67BBEB65"/>
    <w:rsid w:val="67BF50F5"/>
    <w:rsid w:val="67DE3CAB"/>
    <w:rsid w:val="67FB0069"/>
    <w:rsid w:val="69977782"/>
    <w:rsid w:val="699CD7FE"/>
    <w:rsid w:val="69EF8096"/>
    <w:rsid w:val="6B5E056C"/>
    <w:rsid w:val="6BF55458"/>
    <w:rsid w:val="6BFD5E4E"/>
    <w:rsid w:val="6CE10BC0"/>
    <w:rsid w:val="6D5AF733"/>
    <w:rsid w:val="6DB96FDE"/>
    <w:rsid w:val="6DBEAA5A"/>
    <w:rsid w:val="6DFBFE77"/>
    <w:rsid w:val="6E635365"/>
    <w:rsid w:val="6E8B3FF2"/>
    <w:rsid w:val="6ED6A9D1"/>
    <w:rsid w:val="6F72E7F7"/>
    <w:rsid w:val="6F778C83"/>
    <w:rsid w:val="6F7FF644"/>
    <w:rsid w:val="6F95744D"/>
    <w:rsid w:val="6FBBB259"/>
    <w:rsid w:val="6FBF1CED"/>
    <w:rsid w:val="6FBFE99D"/>
    <w:rsid w:val="6FFE56D7"/>
    <w:rsid w:val="727D8E50"/>
    <w:rsid w:val="72AF22EB"/>
    <w:rsid w:val="72CF7605"/>
    <w:rsid w:val="737FD3B5"/>
    <w:rsid w:val="73CD6CB6"/>
    <w:rsid w:val="73EE86F1"/>
    <w:rsid w:val="73FB5FB9"/>
    <w:rsid w:val="747F3767"/>
    <w:rsid w:val="752FC754"/>
    <w:rsid w:val="757F6309"/>
    <w:rsid w:val="75AF82E7"/>
    <w:rsid w:val="75DF9F29"/>
    <w:rsid w:val="75FFCE3A"/>
    <w:rsid w:val="76D7798C"/>
    <w:rsid w:val="7757B1AF"/>
    <w:rsid w:val="776B2AE2"/>
    <w:rsid w:val="778E3B50"/>
    <w:rsid w:val="77AF0CB9"/>
    <w:rsid w:val="77B7AED0"/>
    <w:rsid w:val="77BFFC32"/>
    <w:rsid w:val="77D7A1DF"/>
    <w:rsid w:val="77E53374"/>
    <w:rsid w:val="77ECD957"/>
    <w:rsid w:val="77EFC600"/>
    <w:rsid w:val="77F7F321"/>
    <w:rsid w:val="77FD47BE"/>
    <w:rsid w:val="77FF34DF"/>
    <w:rsid w:val="77FF46F0"/>
    <w:rsid w:val="77FFB6D3"/>
    <w:rsid w:val="78FAA32B"/>
    <w:rsid w:val="79D259AC"/>
    <w:rsid w:val="79F3CBC6"/>
    <w:rsid w:val="7AAF208E"/>
    <w:rsid w:val="7AE56EC1"/>
    <w:rsid w:val="7AFF5991"/>
    <w:rsid w:val="7B5E3D73"/>
    <w:rsid w:val="7B6D41C3"/>
    <w:rsid w:val="7B75D712"/>
    <w:rsid w:val="7B79D599"/>
    <w:rsid w:val="7B9F5133"/>
    <w:rsid w:val="7BAF4879"/>
    <w:rsid w:val="7BAF749F"/>
    <w:rsid w:val="7BBFC2B5"/>
    <w:rsid w:val="7BC312D0"/>
    <w:rsid w:val="7BCE5481"/>
    <w:rsid w:val="7BCF10D6"/>
    <w:rsid w:val="7BCF27C7"/>
    <w:rsid w:val="7BCFEA12"/>
    <w:rsid w:val="7BEE11BC"/>
    <w:rsid w:val="7BEEDD6A"/>
    <w:rsid w:val="7BFE6700"/>
    <w:rsid w:val="7BFEFD27"/>
    <w:rsid w:val="7BFF0BAF"/>
    <w:rsid w:val="7BFF431C"/>
    <w:rsid w:val="7C52E0CB"/>
    <w:rsid w:val="7CDAF289"/>
    <w:rsid w:val="7CDD0248"/>
    <w:rsid w:val="7CEB3A3C"/>
    <w:rsid w:val="7D2FB262"/>
    <w:rsid w:val="7D6FBD65"/>
    <w:rsid w:val="7D7FB9F7"/>
    <w:rsid w:val="7D950412"/>
    <w:rsid w:val="7DDB319C"/>
    <w:rsid w:val="7DDD80C5"/>
    <w:rsid w:val="7DDF3411"/>
    <w:rsid w:val="7DEFD1E5"/>
    <w:rsid w:val="7DFE38D4"/>
    <w:rsid w:val="7DFFA03A"/>
    <w:rsid w:val="7E2BF303"/>
    <w:rsid w:val="7E6D7588"/>
    <w:rsid w:val="7E7AC437"/>
    <w:rsid w:val="7ECFCE0B"/>
    <w:rsid w:val="7EF5DB7A"/>
    <w:rsid w:val="7EFBFD78"/>
    <w:rsid w:val="7EFC9725"/>
    <w:rsid w:val="7EFDC0B3"/>
    <w:rsid w:val="7F231DFF"/>
    <w:rsid w:val="7F343DAC"/>
    <w:rsid w:val="7F6D69D2"/>
    <w:rsid w:val="7F6F8A20"/>
    <w:rsid w:val="7F6FEA97"/>
    <w:rsid w:val="7F77358F"/>
    <w:rsid w:val="7F7CAF32"/>
    <w:rsid w:val="7F7D1CB8"/>
    <w:rsid w:val="7F7F925D"/>
    <w:rsid w:val="7F7FA767"/>
    <w:rsid w:val="7F9571DD"/>
    <w:rsid w:val="7F975C43"/>
    <w:rsid w:val="7F9F306C"/>
    <w:rsid w:val="7FA9AE61"/>
    <w:rsid w:val="7FAAF04C"/>
    <w:rsid w:val="7FB509CD"/>
    <w:rsid w:val="7FBB0C7F"/>
    <w:rsid w:val="7FBF7ABA"/>
    <w:rsid w:val="7FBFE1D9"/>
    <w:rsid w:val="7FD917DE"/>
    <w:rsid w:val="7FD958F5"/>
    <w:rsid w:val="7FEAFADE"/>
    <w:rsid w:val="7FED84ED"/>
    <w:rsid w:val="7FEFCC2F"/>
    <w:rsid w:val="7FF25EE6"/>
    <w:rsid w:val="7FF66F0F"/>
    <w:rsid w:val="7FF6A2C6"/>
    <w:rsid w:val="7FFA92AB"/>
    <w:rsid w:val="7FFB4886"/>
    <w:rsid w:val="7FFD08CE"/>
    <w:rsid w:val="7FFD6E68"/>
    <w:rsid w:val="7FFE6DBF"/>
    <w:rsid w:val="7FFE8F23"/>
    <w:rsid w:val="7FFF03EA"/>
    <w:rsid w:val="7FFF0739"/>
    <w:rsid w:val="7FFF0B41"/>
    <w:rsid w:val="7FFF2F1D"/>
    <w:rsid w:val="7FFF3CE3"/>
    <w:rsid w:val="7FFF6C55"/>
    <w:rsid w:val="7FFF8DAD"/>
    <w:rsid w:val="7FFFF9D2"/>
    <w:rsid w:val="8C7D813C"/>
    <w:rsid w:val="8DFF2563"/>
    <w:rsid w:val="8F9BB90B"/>
    <w:rsid w:val="93AF21C3"/>
    <w:rsid w:val="95CDBFD6"/>
    <w:rsid w:val="95F77847"/>
    <w:rsid w:val="96651CE3"/>
    <w:rsid w:val="977EF7B5"/>
    <w:rsid w:val="97DD3F3C"/>
    <w:rsid w:val="97FB0A94"/>
    <w:rsid w:val="9A7A27FA"/>
    <w:rsid w:val="9BB73C67"/>
    <w:rsid w:val="9EB66B22"/>
    <w:rsid w:val="9EEF0B8E"/>
    <w:rsid w:val="9FB71D83"/>
    <w:rsid w:val="9FBDF81E"/>
    <w:rsid w:val="9FBF17BD"/>
    <w:rsid w:val="9FBF3AD5"/>
    <w:rsid w:val="9FCC55B0"/>
    <w:rsid w:val="9FFB9DF6"/>
    <w:rsid w:val="9FFBFCDB"/>
    <w:rsid w:val="9FFF02E3"/>
    <w:rsid w:val="A5F5EB18"/>
    <w:rsid w:val="A7AF4FFA"/>
    <w:rsid w:val="A7F7CFD1"/>
    <w:rsid w:val="A7FD47D3"/>
    <w:rsid w:val="A96FB393"/>
    <w:rsid w:val="A9AFD1A8"/>
    <w:rsid w:val="AAF7CD84"/>
    <w:rsid w:val="ABCFC42E"/>
    <w:rsid w:val="AD3F836D"/>
    <w:rsid w:val="ADAFB3D2"/>
    <w:rsid w:val="ADDF317F"/>
    <w:rsid w:val="AEDA0C84"/>
    <w:rsid w:val="AEFF1C7E"/>
    <w:rsid w:val="AEFFAD26"/>
    <w:rsid w:val="AF8F2074"/>
    <w:rsid w:val="AFEFA84E"/>
    <w:rsid w:val="B2FEC4F5"/>
    <w:rsid w:val="B2FECD26"/>
    <w:rsid w:val="B32BF254"/>
    <w:rsid w:val="B3FDB13F"/>
    <w:rsid w:val="B5B7C40F"/>
    <w:rsid w:val="B5BC5EDF"/>
    <w:rsid w:val="B6FF51E1"/>
    <w:rsid w:val="B73B5EB4"/>
    <w:rsid w:val="B7DFB89E"/>
    <w:rsid w:val="B7F7536F"/>
    <w:rsid w:val="B7FD695E"/>
    <w:rsid w:val="B7FF3154"/>
    <w:rsid w:val="BB6CEC93"/>
    <w:rsid w:val="BBA76B5D"/>
    <w:rsid w:val="BBF6463A"/>
    <w:rsid w:val="BBFDC8E2"/>
    <w:rsid w:val="BBFF5E86"/>
    <w:rsid w:val="BC5EF8DA"/>
    <w:rsid w:val="BCAFEA00"/>
    <w:rsid w:val="BCFFBCF2"/>
    <w:rsid w:val="BCFFD114"/>
    <w:rsid w:val="BDF71020"/>
    <w:rsid w:val="BDFBD5B6"/>
    <w:rsid w:val="BE269815"/>
    <w:rsid w:val="BE3F5983"/>
    <w:rsid w:val="BEDD76AA"/>
    <w:rsid w:val="BEF3034C"/>
    <w:rsid w:val="BEFB508E"/>
    <w:rsid w:val="BEFF09BE"/>
    <w:rsid w:val="BEFF09C2"/>
    <w:rsid w:val="BF3D8167"/>
    <w:rsid w:val="BF707F5C"/>
    <w:rsid w:val="BFD72BE0"/>
    <w:rsid w:val="BFDB17CD"/>
    <w:rsid w:val="BFDBE117"/>
    <w:rsid w:val="BFEF91D3"/>
    <w:rsid w:val="BFF57F64"/>
    <w:rsid w:val="BFF78608"/>
    <w:rsid w:val="BFF9CDA3"/>
    <w:rsid w:val="BFFD06AE"/>
    <w:rsid w:val="BFFEA320"/>
    <w:rsid w:val="BFFEA406"/>
    <w:rsid w:val="C2DF98BC"/>
    <w:rsid w:val="C2FF4BCE"/>
    <w:rsid w:val="C5E7B6A0"/>
    <w:rsid w:val="C7F70CB7"/>
    <w:rsid w:val="C7FFA72E"/>
    <w:rsid w:val="C8B774BF"/>
    <w:rsid w:val="C9DA289D"/>
    <w:rsid w:val="C9EC09C5"/>
    <w:rsid w:val="CBEF8453"/>
    <w:rsid w:val="CBFC3579"/>
    <w:rsid w:val="CD57FD87"/>
    <w:rsid w:val="CD79DD99"/>
    <w:rsid w:val="CDFA02CB"/>
    <w:rsid w:val="CEED69DB"/>
    <w:rsid w:val="CEEF5765"/>
    <w:rsid w:val="CF5F7EDF"/>
    <w:rsid w:val="CF82E1F8"/>
    <w:rsid w:val="CFD75D5A"/>
    <w:rsid w:val="CFFAC42E"/>
    <w:rsid w:val="CFFFA005"/>
    <w:rsid w:val="CFFFD12C"/>
    <w:rsid w:val="D1ECA4BA"/>
    <w:rsid w:val="D372A6FB"/>
    <w:rsid w:val="D37FC8F3"/>
    <w:rsid w:val="D5BF54EA"/>
    <w:rsid w:val="D5FFBC89"/>
    <w:rsid w:val="D79E16E0"/>
    <w:rsid w:val="D7ADE741"/>
    <w:rsid w:val="D7D76495"/>
    <w:rsid w:val="D7F2AD1F"/>
    <w:rsid w:val="D7F7F22D"/>
    <w:rsid w:val="D7FD8470"/>
    <w:rsid w:val="D7FE7925"/>
    <w:rsid w:val="D7FF08C1"/>
    <w:rsid w:val="D8BFADCE"/>
    <w:rsid w:val="D9EFC894"/>
    <w:rsid w:val="DABDF4C5"/>
    <w:rsid w:val="DADECBBB"/>
    <w:rsid w:val="DADF81EC"/>
    <w:rsid w:val="DADF9078"/>
    <w:rsid w:val="DAE3CFAA"/>
    <w:rsid w:val="DB77B19D"/>
    <w:rsid w:val="DBA70FE6"/>
    <w:rsid w:val="DBF7B9B7"/>
    <w:rsid w:val="DBFF7F88"/>
    <w:rsid w:val="DD55296C"/>
    <w:rsid w:val="DD7F1C62"/>
    <w:rsid w:val="DDBED1CF"/>
    <w:rsid w:val="DDFFBD89"/>
    <w:rsid w:val="DE678A7C"/>
    <w:rsid w:val="DEBF5A85"/>
    <w:rsid w:val="DEBF72D4"/>
    <w:rsid w:val="DEDDF5F0"/>
    <w:rsid w:val="DF39DAD1"/>
    <w:rsid w:val="DF5FDE65"/>
    <w:rsid w:val="DF71B401"/>
    <w:rsid w:val="DF8F7A59"/>
    <w:rsid w:val="DF9A5284"/>
    <w:rsid w:val="DF9E01BF"/>
    <w:rsid w:val="DFD7354E"/>
    <w:rsid w:val="DFE12B38"/>
    <w:rsid w:val="DFE76355"/>
    <w:rsid w:val="DFEF3E38"/>
    <w:rsid w:val="DFF74152"/>
    <w:rsid w:val="DFF9866A"/>
    <w:rsid w:val="DFFCE01E"/>
    <w:rsid w:val="DFFEC7D6"/>
    <w:rsid w:val="DFFF44F7"/>
    <w:rsid w:val="E3F931AA"/>
    <w:rsid w:val="E53D84B2"/>
    <w:rsid w:val="E6D92BD4"/>
    <w:rsid w:val="E77BB463"/>
    <w:rsid w:val="E79B1BCF"/>
    <w:rsid w:val="E7DCF2EA"/>
    <w:rsid w:val="E7DE1F53"/>
    <w:rsid w:val="E9D7CAC9"/>
    <w:rsid w:val="EA4D5099"/>
    <w:rsid w:val="EABFD3DE"/>
    <w:rsid w:val="EABFE475"/>
    <w:rsid w:val="EAFD4C90"/>
    <w:rsid w:val="EB27521C"/>
    <w:rsid w:val="EB774637"/>
    <w:rsid w:val="EBD73537"/>
    <w:rsid w:val="EBF75A27"/>
    <w:rsid w:val="EBFCE1C3"/>
    <w:rsid w:val="EBFFE9C6"/>
    <w:rsid w:val="ECB5B083"/>
    <w:rsid w:val="ECE834FC"/>
    <w:rsid w:val="ED3987ED"/>
    <w:rsid w:val="EDF735E3"/>
    <w:rsid w:val="EE7D3180"/>
    <w:rsid w:val="EF3FDEFD"/>
    <w:rsid w:val="EF7FAF12"/>
    <w:rsid w:val="EFAD6C6E"/>
    <w:rsid w:val="EFD713D3"/>
    <w:rsid w:val="EFDDD689"/>
    <w:rsid w:val="EFDEEA24"/>
    <w:rsid w:val="EFEF67C1"/>
    <w:rsid w:val="F04FB62F"/>
    <w:rsid w:val="F15FA68B"/>
    <w:rsid w:val="F1B3191D"/>
    <w:rsid w:val="F1B32F91"/>
    <w:rsid w:val="F1EE923B"/>
    <w:rsid w:val="F1FCCFFB"/>
    <w:rsid w:val="F1FF1CC4"/>
    <w:rsid w:val="F30F3E9A"/>
    <w:rsid w:val="F3798B84"/>
    <w:rsid w:val="F3CDD098"/>
    <w:rsid w:val="F3EF2AEA"/>
    <w:rsid w:val="F3FE2040"/>
    <w:rsid w:val="F4DBC8EE"/>
    <w:rsid w:val="F57F3C70"/>
    <w:rsid w:val="F57FF6B3"/>
    <w:rsid w:val="F5BFA21C"/>
    <w:rsid w:val="F5DF0A2C"/>
    <w:rsid w:val="F635D924"/>
    <w:rsid w:val="F66F09F0"/>
    <w:rsid w:val="F6DC1C4C"/>
    <w:rsid w:val="F6F24B75"/>
    <w:rsid w:val="F71C8422"/>
    <w:rsid w:val="F769CAC5"/>
    <w:rsid w:val="F77F1BC4"/>
    <w:rsid w:val="F79B260F"/>
    <w:rsid w:val="F79F8294"/>
    <w:rsid w:val="F7B9C749"/>
    <w:rsid w:val="F7BCA86C"/>
    <w:rsid w:val="F7EF2195"/>
    <w:rsid w:val="F7FB7A0C"/>
    <w:rsid w:val="F7FE091F"/>
    <w:rsid w:val="F7FFABAD"/>
    <w:rsid w:val="F8BF9656"/>
    <w:rsid w:val="F8DF5395"/>
    <w:rsid w:val="F93DBCF2"/>
    <w:rsid w:val="F99927CF"/>
    <w:rsid w:val="F9F5C1E1"/>
    <w:rsid w:val="F9FFE67F"/>
    <w:rsid w:val="FAEF3C3D"/>
    <w:rsid w:val="FAEF49A8"/>
    <w:rsid w:val="FB5752A5"/>
    <w:rsid w:val="FB7BC90E"/>
    <w:rsid w:val="FBB770E8"/>
    <w:rsid w:val="FBBE73AE"/>
    <w:rsid w:val="FBF7E61A"/>
    <w:rsid w:val="FBFDD41D"/>
    <w:rsid w:val="FC0F5EE8"/>
    <w:rsid w:val="FC6B5631"/>
    <w:rsid w:val="FC7FAC9A"/>
    <w:rsid w:val="FCBA4D62"/>
    <w:rsid w:val="FD17DDD8"/>
    <w:rsid w:val="FD7FD87F"/>
    <w:rsid w:val="FDB13FF0"/>
    <w:rsid w:val="FDBECAFC"/>
    <w:rsid w:val="FDDE4BC2"/>
    <w:rsid w:val="FDEECE21"/>
    <w:rsid w:val="FDF1BBD6"/>
    <w:rsid w:val="FDF303BD"/>
    <w:rsid w:val="FDF32B93"/>
    <w:rsid w:val="FDF73750"/>
    <w:rsid w:val="FDFA680A"/>
    <w:rsid w:val="FDFB5E6A"/>
    <w:rsid w:val="FDFDD49A"/>
    <w:rsid w:val="FE7D6457"/>
    <w:rsid w:val="FE7DD6A7"/>
    <w:rsid w:val="FEB778C1"/>
    <w:rsid w:val="FEDF90D9"/>
    <w:rsid w:val="FEF3436A"/>
    <w:rsid w:val="FEFB4BEA"/>
    <w:rsid w:val="FEFBA4EC"/>
    <w:rsid w:val="FEFF10AB"/>
    <w:rsid w:val="FF1BFB5D"/>
    <w:rsid w:val="FF1F67FA"/>
    <w:rsid w:val="FF3C08EC"/>
    <w:rsid w:val="FF3C2B07"/>
    <w:rsid w:val="FF66EE0A"/>
    <w:rsid w:val="FF6DABF7"/>
    <w:rsid w:val="FF77CEC9"/>
    <w:rsid w:val="FF7D7B66"/>
    <w:rsid w:val="FF7FD2DE"/>
    <w:rsid w:val="FF9BE1ED"/>
    <w:rsid w:val="FF9F00AE"/>
    <w:rsid w:val="FFAFCF26"/>
    <w:rsid w:val="FFB627FF"/>
    <w:rsid w:val="FFB9B3BF"/>
    <w:rsid w:val="FFBB3C4D"/>
    <w:rsid w:val="FFBF8ECB"/>
    <w:rsid w:val="FFBFFCBC"/>
    <w:rsid w:val="FFC3CB5F"/>
    <w:rsid w:val="FFC619AC"/>
    <w:rsid w:val="FFC680A8"/>
    <w:rsid w:val="FFC907B5"/>
    <w:rsid w:val="FFCFA83C"/>
    <w:rsid w:val="FFDC8EA3"/>
    <w:rsid w:val="FFDE0CB7"/>
    <w:rsid w:val="FFE585BF"/>
    <w:rsid w:val="FFE74F6A"/>
    <w:rsid w:val="FFEDDBB6"/>
    <w:rsid w:val="FFEE1B6C"/>
    <w:rsid w:val="FFEF1CE8"/>
    <w:rsid w:val="FFEF5E20"/>
    <w:rsid w:val="FFEFF5F4"/>
    <w:rsid w:val="FFF7C330"/>
    <w:rsid w:val="FFF94BBA"/>
    <w:rsid w:val="FFF9D4B4"/>
    <w:rsid w:val="FFFDA158"/>
    <w:rsid w:val="FFFDFE32"/>
    <w:rsid w:val="FFFE636A"/>
    <w:rsid w:val="FFFEA320"/>
    <w:rsid w:val="FFFF022D"/>
    <w:rsid w:val="FFFF7D6E"/>
    <w:rsid w:val="FFFF8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Unicode MS"/>
      <w:kern w:val="2"/>
      <w:sz w:val="21"/>
      <w:szCs w:val="34"/>
      <w:lang w:val="en-US" w:eastAsia="zh-CN" w:bidi="bo-CN"/>
    </w:rPr>
  </w:style>
  <w:style w:type="character" w:default="1" w:styleId="7">
    <w:name w:val="Default Paragraph Font"/>
    <w:qFormat/>
    <w:uiPriority w:val="0"/>
  </w:style>
  <w:style w:type="table" w:default="1" w:styleId="6">
    <w:name w:val="Normal Table"/>
    <w:qFormat/>
    <w:uiPriority w:val="0"/>
    <w:tblPr>
      <w:tblCellMar>
        <w:top w:w="0" w:type="dxa"/>
        <w:left w:w="108" w:type="dxa"/>
        <w:bottom w:w="0" w:type="dxa"/>
        <w:right w:w="108" w:type="dxa"/>
      </w:tblCellMar>
    </w:tblPr>
  </w:style>
  <w:style w:type="paragraph" w:styleId="2">
    <w:name w:val="Body Text Indent"/>
    <w:basedOn w:val="1"/>
    <w:next w:val="1"/>
    <w:qFormat/>
    <w:uiPriority w:val="0"/>
    <w:pPr>
      <w:spacing w:after="120"/>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paragraph" w:styleId="8">
    <w:name w:val="No Spacing"/>
    <w:qFormat/>
    <w:uiPriority w:val="1"/>
    <w:pPr>
      <w:widowControl w:val="0"/>
      <w:jc w:val="both"/>
    </w:pPr>
    <w:rPr>
      <w:rFonts w:ascii="Calibri" w:hAnsi="Calibri" w:eastAsia="宋体" w:cs="Arial Unicode MS"/>
      <w:kern w:val="2"/>
      <w:sz w:val="21"/>
      <w:szCs w:val="34"/>
      <w:lang w:val="en-US" w:eastAsia="zh-CN" w:bidi="bo-CN"/>
    </w:rPr>
  </w:style>
  <w:style w:type="character" w:customStyle="1" w:styleId="9">
    <w:name w:val="normaltextru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4625</Words>
  <Characters>4741</Characters>
  <Paragraphs>137</Paragraphs>
  <TotalTime>10</TotalTime>
  <ScaleCrop>false</ScaleCrop>
  <LinksUpToDate>false</LinksUpToDate>
  <CharactersWithSpaces>4811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2023-01-26T16:35:00Z</dcterms:created>
  <dc:creator>HUAWEI</dc:creator>
  <cp:lastModifiedBy>雅     痞</cp:lastModifiedBy>
  <cp:lastPrinted>2025-08-29T01:31:00Z</cp:lastPrinted>
  <dcterms:modified xsi:type="dcterms:W3CDTF">2025-08-29T02:23:30Z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350AAA9CEBC14F7B83222B73C9E2031C</vt:lpwstr>
  </property>
  <property fmtid="{D5CDD505-2E9C-101B-9397-08002B2CF9AE}" pid="4" name="KSOTemplateDocerSaveRecord">
    <vt:lpwstr>eyJoZGlkIjoiZjljMGRiNDVjNzlkMDE0ZDlhMzY2ODhiMjhiODdmODMiLCJ1c2VySWQiOiIzOTIxODIzNjgifQ==</vt:lpwstr>
  </property>
</Properties>
</file>