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CFE8CC"/>
  <w:body>
    <w:p>
      <w:pPr>
        <w:rPr>
          <w:rFonts w:hint="eastAsia"/>
          <w:b/>
          <w:bCs/>
          <w:sz w:val="72"/>
          <w:szCs w:val="72"/>
        </w:rPr>
      </w:pPr>
    </w:p>
    <w:p>
      <w:pPr>
        <w:rPr>
          <w:rFonts w:hint="eastAsia"/>
          <w:b/>
          <w:bCs/>
          <w:sz w:val="72"/>
          <w:szCs w:val="72"/>
        </w:rPr>
      </w:pPr>
    </w:p>
    <w:p>
      <w:pPr>
        <w:jc w:val="center"/>
        <w:rPr>
          <w:rFonts w:hint="eastAsia"/>
          <w:b/>
          <w:bCs/>
          <w:sz w:val="72"/>
          <w:szCs w:val="72"/>
        </w:rPr>
      </w:pPr>
      <w:r>
        <w:rPr>
          <w:rFonts w:hint="eastAsia"/>
          <w:b/>
          <w:bCs/>
          <w:sz w:val="72"/>
          <w:szCs w:val="72"/>
        </w:rPr>
        <w:t>建设项目环境影响报告表</w:t>
      </w:r>
    </w:p>
    <w:p>
      <w:pPr>
        <w:jc w:val="center"/>
        <w:rPr>
          <w:rFonts w:hint="eastAsia"/>
          <w:sz w:val="44"/>
          <w:szCs w:val="44"/>
        </w:rPr>
      </w:pPr>
      <w:r>
        <w:rPr>
          <w:rFonts w:hint="eastAsia"/>
          <w:sz w:val="44"/>
          <w:szCs w:val="44"/>
        </w:rPr>
        <w:t>（污染影响类）</w:t>
      </w:r>
    </w:p>
    <w:p>
      <w:pPr>
        <w:ind w:left="0" w:leftChars="0" w:firstLine="0" w:firstLineChars="0"/>
        <w:rPr>
          <w:rFonts w:hint="eastAsia"/>
        </w:rPr>
      </w:pPr>
    </w:p>
    <w:p>
      <w:pPr>
        <w:rPr>
          <w:rFonts w:hint="eastAsia"/>
        </w:rPr>
      </w:pPr>
    </w:p>
    <w:p>
      <w:pPr>
        <w:rPr>
          <w:rFonts w:hint="eastAsia"/>
        </w:rPr>
      </w:pPr>
    </w:p>
    <w:p>
      <w:pPr>
        <w:rPr>
          <w:rFonts w:hint="eastAsia"/>
          <w:sz w:val="30"/>
          <w:szCs w:val="30"/>
        </w:rPr>
      </w:pPr>
    </w:p>
    <w:p>
      <w:pPr>
        <w:ind w:left="1800" w:hanging="1800" w:hangingChars="500"/>
        <w:rPr>
          <w:rFonts w:hint="default" w:eastAsia="宋体"/>
          <w:sz w:val="36"/>
          <w:szCs w:val="36"/>
          <w:u w:val="single"/>
          <w:lang w:val="en-US" w:eastAsia="zh-CN"/>
        </w:rPr>
      </w:pPr>
      <w:r>
        <w:rPr>
          <w:rFonts w:hint="eastAsia"/>
          <w:sz w:val="36"/>
          <w:szCs w:val="36"/>
        </w:rPr>
        <w:t>项目名称</w:t>
      </w:r>
      <w:r>
        <w:rPr>
          <w:rFonts w:hint="eastAsia" w:eastAsia="宋体"/>
          <w:sz w:val="36"/>
          <w:szCs w:val="36"/>
          <w:lang w:eastAsia="zh-CN"/>
        </w:rPr>
        <w:t>：</w:t>
      </w:r>
      <w:r>
        <w:rPr>
          <w:rFonts w:hint="eastAsia" w:eastAsia="宋体"/>
          <w:sz w:val="36"/>
          <w:szCs w:val="36"/>
          <w:u w:val="single"/>
          <w:lang w:val="en-US" w:eastAsia="zh-CN"/>
        </w:rPr>
        <w:t xml:space="preserve">年产10万方商品混凝土及3万吨新型环保沥青路面混凝土搅拌站建设项目      </w:t>
      </w:r>
    </w:p>
    <w:p>
      <w:pPr>
        <w:ind w:left="0" w:leftChars="0" w:firstLine="0" w:firstLineChars="0"/>
        <w:rPr>
          <w:rFonts w:hint="default" w:eastAsia="宋体"/>
          <w:sz w:val="36"/>
          <w:szCs w:val="36"/>
          <w:lang w:val="en-US" w:eastAsia="zh-CN"/>
        </w:rPr>
      </w:pPr>
      <w:r>
        <w:rPr>
          <w:rFonts w:hint="eastAsia"/>
          <w:sz w:val="36"/>
          <w:szCs w:val="36"/>
        </w:rPr>
        <w:t>建设单位：</w:t>
      </w:r>
      <w:r>
        <w:rPr>
          <w:rFonts w:hint="eastAsia" w:eastAsia="宋体"/>
          <w:sz w:val="36"/>
          <w:szCs w:val="36"/>
          <w:u w:val="single"/>
          <w:lang w:val="en-US" w:eastAsia="zh-CN"/>
        </w:rPr>
        <w:t xml:space="preserve">同德县荣荣混凝土有限公司          </w:t>
      </w:r>
    </w:p>
    <w:p>
      <w:pPr>
        <w:ind w:left="0" w:leftChars="0" w:firstLine="0" w:firstLineChars="0"/>
        <w:rPr>
          <w:rFonts w:hint="eastAsia"/>
          <w:sz w:val="36"/>
          <w:szCs w:val="36"/>
        </w:rPr>
      </w:pPr>
      <w:r>
        <w:rPr>
          <w:rFonts w:hint="eastAsia"/>
          <w:sz w:val="36"/>
          <w:szCs w:val="36"/>
        </w:rPr>
        <w:t>编制日期：202</w:t>
      </w:r>
      <w:r>
        <w:rPr>
          <w:rFonts w:hint="eastAsia" w:eastAsia="宋体"/>
          <w:sz w:val="36"/>
          <w:szCs w:val="36"/>
          <w:lang w:val="en-US" w:eastAsia="zh-CN"/>
        </w:rPr>
        <w:t>5</w:t>
      </w:r>
      <w:r>
        <w:rPr>
          <w:rFonts w:hint="eastAsia"/>
          <w:sz w:val="36"/>
          <w:szCs w:val="36"/>
        </w:rPr>
        <w:t xml:space="preserve"> 年</w:t>
      </w:r>
      <w:r>
        <w:rPr>
          <w:rFonts w:hint="eastAsia" w:eastAsia="宋体"/>
          <w:sz w:val="36"/>
          <w:szCs w:val="36"/>
          <w:lang w:val="en-US" w:eastAsia="zh-CN"/>
        </w:rPr>
        <w:t xml:space="preserve"> 5 </w:t>
      </w:r>
      <w:r>
        <w:rPr>
          <w:rFonts w:hint="eastAsia"/>
          <w:sz w:val="36"/>
          <w:szCs w:val="36"/>
        </w:rPr>
        <w:t>月</w:t>
      </w:r>
    </w:p>
    <w:p>
      <w:pPr>
        <w:rPr>
          <w:rFonts w:hint="eastAsia"/>
          <w:sz w:val="30"/>
          <w:szCs w:val="30"/>
        </w:rPr>
      </w:pPr>
    </w:p>
    <w:p>
      <w:pPr>
        <w:pStyle w:val="2"/>
        <w:rPr>
          <w:rFonts w:hint="eastAsia"/>
        </w:rPr>
      </w:pPr>
    </w:p>
    <w:p>
      <w:pPr>
        <w:jc w:val="center"/>
        <w:rPr>
          <w:sz w:val="36"/>
          <w:szCs w:val="36"/>
        </w:rPr>
      </w:pPr>
      <w:r>
        <w:rPr>
          <w:rFonts w:hint="eastAsia"/>
          <w:sz w:val="36"/>
          <w:szCs w:val="36"/>
        </w:rPr>
        <w:t>中华人民共和国生态环境部制</w:t>
      </w:r>
    </w:p>
    <w:p>
      <w:pPr>
        <w:pStyle w:val="3"/>
        <w:rPr>
          <w:color w:val="auto"/>
        </w:rPr>
      </w:pPr>
      <w:r>
        <w:rPr>
          <w:rFonts w:hint="eastAsia"/>
          <w:color w:val="auto"/>
        </w:rPr>
        <w:t>一、建设项目基本情况</w:t>
      </w:r>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25"/>
        <w:gridCol w:w="1571"/>
        <w:gridCol w:w="1997"/>
        <w:gridCol w:w="347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25" w:type="dxa"/>
            <w:tcMar>
              <w:top w:w="16" w:type="dxa"/>
              <w:left w:w="16" w:type="dxa"/>
              <w:right w:w="16" w:type="dxa"/>
            </w:tcMar>
            <w:vAlign w:val="center"/>
          </w:tcPr>
          <w:p>
            <w:pPr>
              <w:spacing w:line="240" w:lineRule="auto"/>
              <w:ind w:firstLine="0" w:firstLineChars="0"/>
              <w:jc w:val="center"/>
              <w:rPr>
                <w:color w:val="auto"/>
              </w:rPr>
            </w:pPr>
            <w:r>
              <w:rPr>
                <w:rFonts w:hint="eastAsia"/>
                <w:color w:val="auto"/>
              </w:rPr>
              <w:t>建设项目名称</w:t>
            </w:r>
          </w:p>
        </w:tc>
        <w:tc>
          <w:tcPr>
            <w:tcW w:w="7045" w:type="dxa"/>
            <w:gridSpan w:val="3"/>
            <w:vAlign w:val="center"/>
          </w:tcPr>
          <w:p>
            <w:pPr>
              <w:spacing w:line="240" w:lineRule="auto"/>
              <w:ind w:firstLine="0" w:firstLineChars="0"/>
              <w:jc w:val="center"/>
              <w:rPr>
                <w:rFonts w:hint="eastAsia" w:eastAsia="宋体"/>
                <w:color w:val="auto"/>
                <w:lang w:val="en-US" w:eastAsia="zh-CN"/>
              </w:rPr>
            </w:pPr>
            <w:r>
              <w:rPr>
                <w:rFonts w:hint="eastAsia"/>
                <w:color w:val="auto"/>
              </w:rPr>
              <w:t>年产10万方商品混凝土及3万吨新型环保沥青路面混凝土搅拌站</w:t>
            </w:r>
            <w:r>
              <w:rPr>
                <w:rFonts w:hint="eastAsia"/>
                <w:color w:val="auto"/>
                <w:lang w:val="en-US" w:eastAsia="zh-CN"/>
              </w:rPr>
              <w:t>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25" w:type="dxa"/>
            <w:tcMar>
              <w:top w:w="16" w:type="dxa"/>
              <w:left w:w="16" w:type="dxa"/>
              <w:right w:w="16" w:type="dxa"/>
            </w:tcMar>
            <w:vAlign w:val="center"/>
          </w:tcPr>
          <w:p>
            <w:pPr>
              <w:spacing w:line="240" w:lineRule="auto"/>
              <w:ind w:firstLine="0" w:firstLineChars="0"/>
              <w:jc w:val="center"/>
              <w:rPr>
                <w:color w:val="auto"/>
              </w:rPr>
            </w:pPr>
            <w:r>
              <w:rPr>
                <w:rFonts w:hint="eastAsia"/>
                <w:color w:val="auto"/>
              </w:rPr>
              <w:t>项目代码</w:t>
            </w:r>
          </w:p>
        </w:tc>
        <w:tc>
          <w:tcPr>
            <w:tcW w:w="7045" w:type="dxa"/>
            <w:gridSpan w:val="3"/>
            <w:vAlign w:val="center"/>
          </w:tcPr>
          <w:p>
            <w:pPr>
              <w:spacing w:line="240" w:lineRule="auto"/>
              <w:ind w:firstLine="0" w:firstLineChars="0"/>
              <w:jc w:val="center"/>
              <w:rPr>
                <w:color w:val="auto"/>
              </w:rPr>
            </w:pPr>
            <w:r>
              <w:rPr>
                <w:rFonts w:hint="eastAsia" w:eastAsia="宋体"/>
                <w:color w:val="auto"/>
                <w:lang w:val="en-US" w:eastAsia="zh-CN"/>
              </w:rPr>
              <w:t>2505-632522-04-01-171829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25" w:type="dxa"/>
            <w:tcMar>
              <w:top w:w="16" w:type="dxa"/>
              <w:left w:w="16" w:type="dxa"/>
              <w:right w:w="16" w:type="dxa"/>
            </w:tcMar>
            <w:vAlign w:val="center"/>
          </w:tcPr>
          <w:p>
            <w:pPr>
              <w:spacing w:line="240" w:lineRule="auto"/>
              <w:ind w:firstLine="0" w:firstLineChars="0"/>
              <w:jc w:val="center"/>
              <w:rPr>
                <w:color w:val="auto"/>
              </w:rPr>
            </w:pPr>
            <w:r>
              <w:rPr>
                <w:rFonts w:hint="eastAsia"/>
                <w:color w:val="auto"/>
              </w:rPr>
              <w:t>建设单位联系人</w:t>
            </w:r>
          </w:p>
        </w:tc>
        <w:tc>
          <w:tcPr>
            <w:tcW w:w="1571" w:type="dxa"/>
            <w:vAlign w:val="center"/>
          </w:tcPr>
          <w:p>
            <w:pPr>
              <w:spacing w:line="240" w:lineRule="auto"/>
              <w:ind w:firstLine="0" w:firstLineChars="0"/>
              <w:jc w:val="center"/>
              <w:rPr>
                <w:color w:val="auto"/>
              </w:rPr>
            </w:pPr>
            <w:r>
              <w:rPr>
                <w:rFonts w:hint="eastAsia"/>
                <w:color w:val="auto"/>
              </w:rPr>
              <w:t>骆辉</w:t>
            </w:r>
          </w:p>
        </w:tc>
        <w:tc>
          <w:tcPr>
            <w:tcW w:w="1997" w:type="dxa"/>
            <w:vAlign w:val="center"/>
          </w:tcPr>
          <w:p>
            <w:pPr>
              <w:spacing w:line="240" w:lineRule="auto"/>
              <w:ind w:firstLine="0" w:firstLineChars="0"/>
              <w:jc w:val="center"/>
              <w:rPr>
                <w:color w:val="auto"/>
              </w:rPr>
            </w:pPr>
            <w:r>
              <w:rPr>
                <w:rFonts w:hint="eastAsia"/>
                <w:color w:val="auto"/>
              </w:rPr>
              <w:t>联系方式</w:t>
            </w:r>
          </w:p>
        </w:tc>
        <w:tc>
          <w:tcPr>
            <w:tcW w:w="3477" w:type="dxa"/>
            <w:vAlign w:val="center"/>
          </w:tcPr>
          <w:p>
            <w:pPr>
              <w:spacing w:line="240" w:lineRule="auto"/>
              <w:ind w:firstLine="0" w:firstLineChars="0"/>
              <w:jc w:val="center"/>
              <w:rPr>
                <w:color w:val="auto"/>
              </w:rPr>
            </w:pPr>
            <w:r>
              <w:rPr>
                <w:rFonts w:hint="eastAsia"/>
                <w:color w:val="auto"/>
              </w:rPr>
              <w:t>15003606018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25" w:type="dxa"/>
            <w:tcMar>
              <w:top w:w="16" w:type="dxa"/>
              <w:left w:w="16" w:type="dxa"/>
              <w:right w:w="16" w:type="dxa"/>
            </w:tcMar>
            <w:vAlign w:val="center"/>
          </w:tcPr>
          <w:p>
            <w:pPr>
              <w:spacing w:line="240" w:lineRule="auto"/>
              <w:ind w:firstLine="0" w:firstLineChars="0"/>
              <w:jc w:val="center"/>
              <w:rPr>
                <w:color w:val="auto"/>
              </w:rPr>
            </w:pPr>
            <w:r>
              <w:rPr>
                <w:rFonts w:hint="eastAsia"/>
                <w:color w:val="auto"/>
              </w:rPr>
              <w:t>建设地点</w:t>
            </w:r>
          </w:p>
        </w:tc>
        <w:tc>
          <w:tcPr>
            <w:tcW w:w="7045" w:type="dxa"/>
            <w:gridSpan w:val="3"/>
            <w:vAlign w:val="center"/>
          </w:tcPr>
          <w:p>
            <w:pPr>
              <w:spacing w:line="240" w:lineRule="auto"/>
              <w:ind w:firstLine="0" w:firstLineChars="0"/>
              <w:jc w:val="center"/>
              <w:rPr>
                <w:color w:val="auto"/>
              </w:rPr>
            </w:pPr>
            <w:r>
              <w:rPr>
                <w:rFonts w:hint="eastAsia"/>
                <w:color w:val="auto"/>
              </w:rPr>
              <w:t>海南州同德县尕巴松多镇科加村省级扶贫产业园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25" w:type="dxa"/>
            <w:tcMar>
              <w:top w:w="16" w:type="dxa"/>
              <w:left w:w="16" w:type="dxa"/>
              <w:right w:w="16" w:type="dxa"/>
            </w:tcMar>
            <w:vAlign w:val="center"/>
          </w:tcPr>
          <w:p>
            <w:pPr>
              <w:spacing w:line="240" w:lineRule="auto"/>
              <w:ind w:firstLine="0" w:firstLineChars="0"/>
              <w:jc w:val="center"/>
              <w:rPr>
                <w:color w:val="auto"/>
              </w:rPr>
            </w:pPr>
            <w:r>
              <w:rPr>
                <w:rFonts w:hint="eastAsia"/>
                <w:color w:val="auto"/>
              </w:rPr>
              <w:t>地理坐标</w:t>
            </w:r>
          </w:p>
        </w:tc>
        <w:tc>
          <w:tcPr>
            <w:tcW w:w="7045" w:type="dxa"/>
            <w:gridSpan w:val="3"/>
            <w:vAlign w:val="center"/>
          </w:tcPr>
          <w:p>
            <w:pPr>
              <w:spacing w:line="240" w:lineRule="auto"/>
              <w:ind w:firstLine="0" w:firstLineChars="0"/>
              <w:jc w:val="center"/>
              <w:rPr>
                <w:color w:val="auto"/>
              </w:rPr>
            </w:pPr>
            <w:r>
              <w:rPr>
                <w:rFonts w:hint="eastAsia"/>
                <w:color w:val="auto"/>
              </w:rPr>
              <w:t>厂界中心坐标（</w:t>
            </w:r>
            <w:r>
              <w:rPr>
                <w:color w:val="auto"/>
              </w:rPr>
              <w:t>100°37′22.573″E, 35°13′36.686″N</w:t>
            </w:r>
            <w:r>
              <w:rPr>
                <w:rFonts w:hint="eastAsia"/>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09" w:hRule="atLeast"/>
          <w:jc w:val="center"/>
        </w:trPr>
        <w:tc>
          <w:tcPr>
            <w:tcW w:w="1825" w:type="dxa"/>
            <w:tcMar>
              <w:top w:w="16" w:type="dxa"/>
              <w:left w:w="16" w:type="dxa"/>
              <w:right w:w="16" w:type="dxa"/>
            </w:tcMar>
            <w:vAlign w:val="center"/>
          </w:tcPr>
          <w:p>
            <w:pPr>
              <w:spacing w:line="240" w:lineRule="auto"/>
              <w:ind w:firstLine="0" w:firstLineChars="0"/>
              <w:jc w:val="center"/>
              <w:rPr>
                <w:color w:val="auto"/>
              </w:rPr>
            </w:pPr>
            <w:r>
              <w:rPr>
                <w:rFonts w:hint="eastAsia"/>
                <w:color w:val="auto"/>
              </w:rPr>
              <w:t>国民经济</w:t>
            </w:r>
          </w:p>
          <w:p>
            <w:pPr>
              <w:spacing w:line="240" w:lineRule="auto"/>
              <w:ind w:firstLine="0" w:firstLineChars="0"/>
              <w:jc w:val="center"/>
              <w:rPr>
                <w:color w:val="auto"/>
              </w:rPr>
            </w:pPr>
            <w:r>
              <w:rPr>
                <w:rFonts w:hint="eastAsia"/>
                <w:color w:val="auto"/>
              </w:rPr>
              <w:t>行业类别</w:t>
            </w:r>
          </w:p>
        </w:tc>
        <w:tc>
          <w:tcPr>
            <w:tcW w:w="1571" w:type="dxa"/>
            <w:vAlign w:val="center"/>
          </w:tcPr>
          <w:p>
            <w:pPr>
              <w:spacing w:line="240" w:lineRule="auto"/>
              <w:ind w:firstLine="0" w:firstLineChars="0"/>
              <w:jc w:val="center"/>
              <w:rPr>
                <w:color w:val="auto"/>
              </w:rPr>
            </w:pPr>
            <w:r>
              <w:rPr>
                <w:rFonts w:hint="eastAsia"/>
                <w:color w:val="auto"/>
              </w:rPr>
              <w:t>C3021 水泥制品制造</w:t>
            </w:r>
          </w:p>
          <w:p>
            <w:pPr>
              <w:spacing w:line="240" w:lineRule="auto"/>
              <w:ind w:firstLine="0" w:firstLineChars="0"/>
              <w:jc w:val="center"/>
              <w:rPr>
                <w:color w:val="auto"/>
              </w:rPr>
            </w:pPr>
            <w:r>
              <w:rPr>
                <w:color w:val="auto"/>
              </w:rPr>
              <w:t>C3099 其他非金</w:t>
            </w:r>
          </w:p>
          <w:p>
            <w:pPr>
              <w:spacing w:line="240" w:lineRule="auto"/>
              <w:ind w:firstLine="0" w:firstLineChars="0"/>
              <w:jc w:val="center"/>
              <w:rPr>
                <w:color w:val="auto"/>
              </w:rPr>
            </w:pPr>
            <w:r>
              <w:rPr>
                <w:color w:val="auto"/>
              </w:rPr>
              <w:t>属矿物制品制造</w:t>
            </w:r>
          </w:p>
        </w:tc>
        <w:tc>
          <w:tcPr>
            <w:tcW w:w="1997" w:type="dxa"/>
            <w:vAlign w:val="center"/>
          </w:tcPr>
          <w:p>
            <w:pPr>
              <w:spacing w:line="240" w:lineRule="auto"/>
              <w:ind w:firstLine="0" w:firstLineChars="0"/>
              <w:jc w:val="center"/>
              <w:rPr>
                <w:color w:val="auto"/>
              </w:rPr>
            </w:pPr>
            <w:r>
              <w:rPr>
                <w:rFonts w:hint="eastAsia"/>
                <w:color w:val="auto"/>
              </w:rPr>
              <w:t>建设项目</w:t>
            </w:r>
          </w:p>
          <w:p>
            <w:pPr>
              <w:spacing w:line="240" w:lineRule="auto"/>
              <w:ind w:firstLine="0" w:firstLineChars="0"/>
              <w:jc w:val="center"/>
              <w:rPr>
                <w:color w:val="auto"/>
              </w:rPr>
            </w:pPr>
            <w:r>
              <w:rPr>
                <w:rFonts w:hint="eastAsia"/>
                <w:color w:val="auto"/>
              </w:rPr>
              <w:t>行业类别</w:t>
            </w:r>
          </w:p>
        </w:tc>
        <w:tc>
          <w:tcPr>
            <w:tcW w:w="3477" w:type="dxa"/>
            <w:vAlign w:val="center"/>
          </w:tcPr>
          <w:p>
            <w:pPr>
              <w:spacing w:line="240" w:lineRule="auto"/>
              <w:ind w:firstLine="0" w:firstLineChars="0"/>
              <w:jc w:val="center"/>
              <w:rPr>
                <w:color w:val="auto"/>
              </w:rPr>
            </w:pPr>
            <w:r>
              <w:rPr>
                <w:rFonts w:hint="eastAsia"/>
                <w:color w:val="auto"/>
              </w:rPr>
              <w:t>二十七、非金属矿物制品业</w:t>
            </w:r>
          </w:p>
          <w:p>
            <w:pPr>
              <w:spacing w:line="240" w:lineRule="auto"/>
              <w:ind w:firstLine="0" w:firstLineChars="0"/>
              <w:jc w:val="center"/>
              <w:rPr>
                <w:color w:val="auto"/>
              </w:rPr>
            </w:pPr>
            <w:r>
              <w:rPr>
                <w:rFonts w:hint="eastAsia"/>
                <w:color w:val="auto"/>
              </w:rPr>
              <w:t>55石膏、水泥制品及类似制品制造 302；60 石墨及其它非金属矿物制品制造 309-其他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09" w:hRule="atLeast"/>
          <w:jc w:val="center"/>
        </w:trPr>
        <w:tc>
          <w:tcPr>
            <w:tcW w:w="1825" w:type="dxa"/>
            <w:tcMar>
              <w:top w:w="16" w:type="dxa"/>
              <w:left w:w="16" w:type="dxa"/>
              <w:right w:w="16" w:type="dxa"/>
            </w:tcMar>
            <w:vAlign w:val="center"/>
          </w:tcPr>
          <w:p>
            <w:pPr>
              <w:spacing w:line="240" w:lineRule="auto"/>
              <w:ind w:firstLine="0" w:firstLineChars="0"/>
              <w:jc w:val="center"/>
              <w:rPr>
                <w:color w:val="auto"/>
              </w:rPr>
            </w:pPr>
            <w:r>
              <w:rPr>
                <w:rFonts w:hint="eastAsia"/>
                <w:color w:val="auto"/>
              </w:rPr>
              <w:t>建设性质</w:t>
            </w:r>
          </w:p>
        </w:tc>
        <w:tc>
          <w:tcPr>
            <w:tcW w:w="1571" w:type="dxa"/>
            <w:vAlign w:val="center"/>
          </w:tcPr>
          <w:p>
            <w:pPr>
              <w:spacing w:line="240" w:lineRule="auto"/>
              <w:ind w:firstLine="0" w:firstLineChars="0"/>
              <w:jc w:val="center"/>
              <w:rPr>
                <w:color w:val="auto"/>
              </w:rPr>
            </w:pPr>
            <w:r>
              <w:rPr>
                <w:rFonts w:hint="eastAsia"/>
                <w:color w:val="auto"/>
              </w:rPr>
              <w:t>☑新建（迁建）</w:t>
            </w:r>
          </w:p>
          <w:p>
            <w:pPr>
              <w:spacing w:line="240" w:lineRule="auto"/>
              <w:ind w:firstLine="0" w:firstLineChars="0"/>
              <w:jc w:val="center"/>
              <w:rPr>
                <w:color w:val="auto"/>
              </w:rPr>
            </w:pPr>
            <w:r>
              <w:rPr>
                <w:rFonts w:hint="eastAsia"/>
                <w:color w:val="auto"/>
              </w:rPr>
              <w:t>□改建</w:t>
            </w:r>
          </w:p>
          <w:p>
            <w:pPr>
              <w:spacing w:line="240" w:lineRule="auto"/>
              <w:ind w:firstLine="0" w:firstLineChars="0"/>
              <w:jc w:val="center"/>
              <w:rPr>
                <w:color w:val="auto"/>
              </w:rPr>
            </w:pPr>
            <w:r>
              <w:rPr>
                <w:rFonts w:hint="eastAsia"/>
                <w:color w:val="auto"/>
              </w:rPr>
              <w:t>□扩建</w:t>
            </w:r>
          </w:p>
          <w:p>
            <w:pPr>
              <w:spacing w:line="240" w:lineRule="auto"/>
              <w:ind w:firstLine="0" w:firstLineChars="0"/>
              <w:jc w:val="center"/>
              <w:rPr>
                <w:color w:val="auto"/>
              </w:rPr>
            </w:pPr>
            <w:r>
              <w:rPr>
                <w:rFonts w:hint="eastAsia"/>
                <w:color w:val="auto"/>
              </w:rPr>
              <w:t>□技术改造</w:t>
            </w:r>
          </w:p>
        </w:tc>
        <w:tc>
          <w:tcPr>
            <w:tcW w:w="1997" w:type="dxa"/>
            <w:vAlign w:val="center"/>
          </w:tcPr>
          <w:p>
            <w:pPr>
              <w:spacing w:line="240" w:lineRule="auto"/>
              <w:ind w:firstLine="0" w:firstLineChars="0"/>
              <w:jc w:val="center"/>
              <w:rPr>
                <w:color w:val="auto"/>
              </w:rPr>
            </w:pPr>
            <w:r>
              <w:rPr>
                <w:rFonts w:hint="eastAsia"/>
                <w:color w:val="auto"/>
              </w:rPr>
              <w:t>建设项目</w:t>
            </w:r>
          </w:p>
          <w:p>
            <w:pPr>
              <w:spacing w:line="240" w:lineRule="auto"/>
              <w:ind w:firstLine="0" w:firstLineChars="0"/>
              <w:jc w:val="center"/>
              <w:rPr>
                <w:color w:val="auto"/>
              </w:rPr>
            </w:pPr>
            <w:r>
              <w:rPr>
                <w:rFonts w:hint="eastAsia"/>
                <w:color w:val="auto"/>
              </w:rPr>
              <w:t>申报情形</w:t>
            </w:r>
          </w:p>
        </w:tc>
        <w:tc>
          <w:tcPr>
            <w:tcW w:w="3477" w:type="dxa"/>
            <w:vAlign w:val="center"/>
          </w:tcPr>
          <w:p>
            <w:pPr>
              <w:spacing w:line="240" w:lineRule="auto"/>
              <w:ind w:firstLine="0" w:firstLineChars="0"/>
              <w:jc w:val="center"/>
              <w:rPr>
                <w:color w:val="auto"/>
              </w:rPr>
            </w:pPr>
            <w:r>
              <w:rPr>
                <w:rFonts w:hint="eastAsia"/>
                <w:color w:val="auto"/>
              </w:rPr>
              <w:t>☑首次申报项目</w:t>
            </w:r>
          </w:p>
          <w:p>
            <w:pPr>
              <w:spacing w:line="240" w:lineRule="auto"/>
              <w:ind w:firstLine="0" w:firstLineChars="0"/>
              <w:jc w:val="center"/>
              <w:rPr>
                <w:color w:val="auto"/>
              </w:rPr>
            </w:pPr>
            <w:r>
              <w:rPr>
                <w:rFonts w:hint="eastAsia"/>
                <w:color w:val="auto"/>
              </w:rPr>
              <w:t>□不予批准后再次申报项目</w:t>
            </w:r>
          </w:p>
          <w:p>
            <w:pPr>
              <w:spacing w:line="240" w:lineRule="auto"/>
              <w:ind w:firstLine="0" w:firstLineChars="0"/>
              <w:jc w:val="center"/>
              <w:rPr>
                <w:color w:val="auto"/>
              </w:rPr>
            </w:pPr>
            <w:r>
              <w:rPr>
                <w:rFonts w:hint="eastAsia"/>
                <w:color w:val="auto"/>
              </w:rPr>
              <w:t>□超五年重新审核项目</w:t>
            </w:r>
          </w:p>
          <w:p>
            <w:pPr>
              <w:spacing w:line="240" w:lineRule="auto"/>
              <w:ind w:firstLine="0" w:firstLineChars="0"/>
              <w:jc w:val="center"/>
              <w:rPr>
                <w:color w:val="auto"/>
              </w:rPr>
            </w:pPr>
            <w:r>
              <w:rPr>
                <w:rFonts w:hint="eastAsia"/>
                <w:color w:val="auto"/>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09" w:hRule="atLeast"/>
          <w:jc w:val="center"/>
        </w:trPr>
        <w:tc>
          <w:tcPr>
            <w:tcW w:w="1825" w:type="dxa"/>
            <w:tcMar>
              <w:top w:w="16" w:type="dxa"/>
              <w:left w:w="16" w:type="dxa"/>
              <w:right w:w="16" w:type="dxa"/>
            </w:tcMar>
            <w:vAlign w:val="center"/>
          </w:tcPr>
          <w:p>
            <w:pPr>
              <w:spacing w:line="240" w:lineRule="auto"/>
              <w:ind w:firstLine="0" w:firstLineChars="0"/>
              <w:jc w:val="center"/>
              <w:rPr>
                <w:color w:val="auto"/>
              </w:rPr>
            </w:pPr>
            <w:r>
              <w:rPr>
                <w:rFonts w:hint="eastAsia"/>
                <w:color w:val="auto"/>
              </w:rPr>
              <w:t>项目审批（核准</w:t>
            </w:r>
            <w:r>
              <w:rPr>
                <w:color w:val="auto"/>
              </w:rPr>
              <w:t>/</w:t>
            </w:r>
          </w:p>
          <w:p>
            <w:pPr>
              <w:spacing w:line="240" w:lineRule="auto"/>
              <w:ind w:firstLine="0" w:firstLineChars="0"/>
              <w:jc w:val="center"/>
              <w:rPr>
                <w:color w:val="auto"/>
              </w:rPr>
            </w:pPr>
            <w:r>
              <w:rPr>
                <w:rFonts w:hint="eastAsia"/>
                <w:color w:val="auto"/>
              </w:rPr>
              <w:t>备案）部门（选填）</w:t>
            </w:r>
          </w:p>
        </w:tc>
        <w:tc>
          <w:tcPr>
            <w:tcW w:w="1571" w:type="dxa"/>
            <w:vAlign w:val="center"/>
          </w:tcPr>
          <w:p>
            <w:pPr>
              <w:spacing w:line="240" w:lineRule="auto"/>
              <w:ind w:firstLine="0" w:firstLineChars="0"/>
              <w:jc w:val="center"/>
              <w:rPr>
                <w:color w:val="auto"/>
              </w:rPr>
            </w:pPr>
            <w:r>
              <w:rPr>
                <w:rFonts w:hint="eastAsia"/>
                <w:color w:val="auto"/>
              </w:rPr>
              <w:t>同德县发展和改革局</w:t>
            </w:r>
          </w:p>
        </w:tc>
        <w:tc>
          <w:tcPr>
            <w:tcW w:w="1997" w:type="dxa"/>
            <w:vAlign w:val="center"/>
          </w:tcPr>
          <w:p>
            <w:pPr>
              <w:spacing w:line="240" w:lineRule="auto"/>
              <w:ind w:firstLine="0" w:firstLineChars="0"/>
              <w:jc w:val="center"/>
              <w:rPr>
                <w:color w:val="auto"/>
              </w:rPr>
            </w:pPr>
            <w:r>
              <w:rPr>
                <w:rFonts w:hint="eastAsia"/>
                <w:color w:val="auto"/>
              </w:rPr>
              <w:t>项目审批（核准</w:t>
            </w:r>
            <w:r>
              <w:rPr>
                <w:color w:val="auto"/>
              </w:rPr>
              <w:t>/</w:t>
            </w:r>
          </w:p>
          <w:p>
            <w:pPr>
              <w:spacing w:line="240" w:lineRule="auto"/>
              <w:ind w:firstLine="0" w:firstLineChars="0"/>
              <w:jc w:val="center"/>
              <w:rPr>
                <w:color w:val="auto"/>
              </w:rPr>
            </w:pPr>
            <w:r>
              <w:rPr>
                <w:rFonts w:hint="eastAsia"/>
                <w:color w:val="auto"/>
              </w:rPr>
              <w:t>备案）文号（选填）</w:t>
            </w:r>
          </w:p>
        </w:tc>
        <w:tc>
          <w:tcPr>
            <w:tcW w:w="3477" w:type="dxa"/>
            <w:vAlign w:val="center"/>
          </w:tcPr>
          <w:p>
            <w:pPr>
              <w:spacing w:line="240" w:lineRule="auto"/>
              <w:ind w:firstLine="0" w:firstLineChars="0"/>
              <w:jc w:val="center"/>
              <w:rPr>
                <w:rFonts w:hint="eastAsia" w:eastAsia="宋体"/>
                <w:color w:val="auto"/>
                <w:lang w:eastAsia="zh-CN"/>
              </w:rPr>
            </w:pPr>
            <w:r>
              <w:rPr>
                <w:rFonts w:hint="eastAsia"/>
                <w:color w:val="auto"/>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09" w:hRule="atLeast"/>
          <w:jc w:val="center"/>
        </w:trPr>
        <w:tc>
          <w:tcPr>
            <w:tcW w:w="1825" w:type="dxa"/>
            <w:tcMar>
              <w:top w:w="16" w:type="dxa"/>
              <w:left w:w="16" w:type="dxa"/>
              <w:right w:w="16" w:type="dxa"/>
            </w:tcMar>
            <w:vAlign w:val="center"/>
          </w:tcPr>
          <w:p>
            <w:pPr>
              <w:spacing w:line="240" w:lineRule="auto"/>
              <w:ind w:firstLine="0" w:firstLineChars="0"/>
              <w:jc w:val="center"/>
              <w:rPr>
                <w:color w:val="auto"/>
              </w:rPr>
            </w:pPr>
            <w:r>
              <w:rPr>
                <w:rFonts w:hint="eastAsia"/>
                <w:color w:val="auto"/>
              </w:rPr>
              <w:t>总投资（万元）</w:t>
            </w:r>
          </w:p>
        </w:tc>
        <w:tc>
          <w:tcPr>
            <w:tcW w:w="1571" w:type="dxa"/>
            <w:vAlign w:val="center"/>
          </w:tcPr>
          <w:p>
            <w:pPr>
              <w:spacing w:line="240" w:lineRule="auto"/>
              <w:ind w:firstLine="0" w:firstLineChars="0"/>
              <w:jc w:val="center"/>
              <w:rPr>
                <w:color w:val="auto"/>
              </w:rPr>
            </w:pPr>
            <w:r>
              <w:rPr>
                <w:rFonts w:hint="eastAsia"/>
                <w:color w:val="auto"/>
              </w:rPr>
              <w:t>3</w:t>
            </w:r>
            <w:r>
              <w:rPr>
                <w:rFonts w:hint="eastAsia"/>
                <w:color w:val="auto"/>
                <w:lang w:val="en-US" w:eastAsia="zh-CN"/>
              </w:rPr>
              <w:t>1</w:t>
            </w:r>
            <w:r>
              <w:rPr>
                <w:rFonts w:hint="eastAsia"/>
                <w:color w:val="auto"/>
              </w:rPr>
              <w:t>00</w:t>
            </w:r>
          </w:p>
        </w:tc>
        <w:tc>
          <w:tcPr>
            <w:tcW w:w="1997" w:type="dxa"/>
            <w:tcMar>
              <w:top w:w="16" w:type="dxa"/>
              <w:left w:w="16" w:type="dxa"/>
              <w:right w:w="16" w:type="dxa"/>
            </w:tcMar>
            <w:vAlign w:val="center"/>
          </w:tcPr>
          <w:p>
            <w:pPr>
              <w:spacing w:line="240" w:lineRule="auto"/>
              <w:ind w:firstLine="0" w:firstLineChars="0"/>
              <w:jc w:val="center"/>
              <w:rPr>
                <w:color w:val="auto"/>
              </w:rPr>
            </w:pPr>
            <w:r>
              <w:rPr>
                <w:rFonts w:hint="eastAsia"/>
                <w:color w:val="auto"/>
              </w:rPr>
              <w:t>环保投资（万元）</w:t>
            </w:r>
          </w:p>
        </w:tc>
        <w:tc>
          <w:tcPr>
            <w:tcW w:w="3477" w:type="dxa"/>
            <w:vAlign w:val="center"/>
          </w:tcPr>
          <w:p>
            <w:pPr>
              <w:spacing w:line="240" w:lineRule="auto"/>
              <w:ind w:firstLine="0" w:firstLineChars="0"/>
              <w:jc w:val="center"/>
              <w:rPr>
                <w:color w:val="auto"/>
              </w:rPr>
            </w:pPr>
            <w:r>
              <w:rPr>
                <w:rFonts w:hint="eastAsia"/>
                <w:color w:val="auto"/>
              </w:rPr>
              <w:t>237.2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09" w:hRule="atLeast"/>
          <w:jc w:val="center"/>
        </w:trPr>
        <w:tc>
          <w:tcPr>
            <w:tcW w:w="1825" w:type="dxa"/>
            <w:tcMar>
              <w:top w:w="16" w:type="dxa"/>
              <w:left w:w="16" w:type="dxa"/>
              <w:right w:w="16" w:type="dxa"/>
            </w:tcMar>
            <w:vAlign w:val="center"/>
          </w:tcPr>
          <w:p>
            <w:pPr>
              <w:spacing w:line="240" w:lineRule="auto"/>
              <w:ind w:firstLine="0" w:firstLineChars="0"/>
              <w:jc w:val="center"/>
              <w:rPr>
                <w:color w:val="auto"/>
              </w:rPr>
            </w:pPr>
            <w:r>
              <w:rPr>
                <w:rFonts w:hint="eastAsia"/>
                <w:color w:val="auto"/>
              </w:rPr>
              <w:t>环保投资占比（</w:t>
            </w:r>
            <w:r>
              <w:rPr>
                <w:color w:val="auto"/>
              </w:rPr>
              <w:t>%</w:t>
            </w:r>
            <w:r>
              <w:rPr>
                <w:rFonts w:hint="eastAsia"/>
                <w:color w:val="auto"/>
              </w:rPr>
              <w:t>）</w:t>
            </w:r>
          </w:p>
        </w:tc>
        <w:tc>
          <w:tcPr>
            <w:tcW w:w="1571" w:type="dxa"/>
            <w:vAlign w:val="center"/>
          </w:tcPr>
          <w:p>
            <w:pPr>
              <w:spacing w:line="240" w:lineRule="auto"/>
              <w:ind w:firstLine="0" w:firstLineChars="0"/>
              <w:jc w:val="center"/>
              <w:rPr>
                <w:rFonts w:hint="default" w:eastAsia="宋体"/>
                <w:color w:val="auto"/>
                <w:lang w:val="en-US" w:eastAsia="zh-CN"/>
              </w:rPr>
            </w:pPr>
            <w:r>
              <w:rPr>
                <w:rFonts w:hint="eastAsia"/>
                <w:color w:val="auto"/>
                <w:lang w:val="en-US" w:eastAsia="zh-CN"/>
              </w:rPr>
              <w:t>7.65</w:t>
            </w:r>
          </w:p>
        </w:tc>
        <w:tc>
          <w:tcPr>
            <w:tcW w:w="1997" w:type="dxa"/>
            <w:tcMar>
              <w:top w:w="16" w:type="dxa"/>
              <w:left w:w="16" w:type="dxa"/>
              <w:right w:w="16" w:type="dxa"/>
            </w:tcMar>
            <w:vAlign w:val="center"/>
          </w:tcPr>
          <w:p>
            <w:pPr>
              <w:spacing w:line="240" w:lineRule="auto"/>
              <w:ind w:firstLine="0" w:firstLineChars="0"/>
              <w:jc w:val="center"/>
              <w:rPr>
                <w:color w:val="auto"/>
              </w:rPr>
            </w:pPr>
            <w:r>
              <w:rPr>
                <w:rFonts w:hint="eastAsia"/>
                <w:color w:val="auto"/>
              </w:rPr>
              <w:t>施工工期</w:t>
            </w:r>
          </w:p>
        </w:tc>
        <w:tc>
          <w:tcPr>
            <w:tcW w:w="3477" w:type="dxa"/>
            <w:vAlign w:val="center"/>
          </w:tcPr>
          <w:p>
            <w:pPr>
              <w:spacing w:line="240" w:lineRule="auto"/>
              <w:ind w:firstLine="0" w:firstLineChars="0"/>
              <w:jc w:val="center"/>
              <w:rPr>
                <w:color w:val="auto"/>
              </w:rPr>
            </w:pPr>
            <w:r>
              <w:rPr>
                <w:rFonts w:hint="eastAsia"/>
                <w:color w:val="auto"/>
              </w:rPr>
              <w:t>5月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09" w:hRule="atLeast"/>
          <w:jc w:val="center"/>
        </w:trPr>
        <w:tc>
          <w:tcPr>
            <w:tcW w:w="1825" w:type="dxa"/>
            <w:tcMar>
              <w:top w:w="16" w:type="dxa"/>
              <w:left w:w="16" w:type="dxa"/>
              <w:right w:w="16" w:type="dxa"/>
            </w:tcMar>
            <w:vAlign w:val="center"/>
          </w:tcPr>
          <w:p>
            <w:pPr>
              <w:spacing w:line="240" w:lineRule="auto"/>
              <w:ind w:firstLine="0" w:firstLineChars="0"/>
              <w:jc w:val="center"/>
              <w:rPr>
                <w:color w:val="auto"/>
              </w:rPr>
            </w:pPr>
            <w:r>
              <w:rPr>
                <w:rFonts w:hint="eastAsia"/>
                <w:color w:val="auto"/>
              </w:rPr>
              <w:t>是否开工建设</w:t>
            </w:r>
          </w:p>
        </w:tc>
        <w:tc>
          <w:tcPr>
            <w:tcW w:w="1571" w:type="dxa"/>
            <w:vAlign w:val="center"/>
          </w:tcPr>
          <w:p>
            <w:pPr>
              <w:spacing w:line="240" w:lineRule="auto"/>
              <w:ind w:firstLine="0" w:firstLineChars="0"/>
              <w:jc w:val="center"/>
              <w:rPr>
                <w:color w:val="auto"/>
              </w:rPr>
            </w:pPr>
            <w:r>
              <w:rPr>
                <w:rFonts w:hint="eastAsia"/>
                <w:color w:val="auto"/>
              </w:rPr>
              <w:t>☑否</w:t>
            </w:r>
          </w:p>
          <w:p>
            <w:pPr>
              <w:spacing w:line="240" w:lineRule="auto"/>
              <w:ind w:firstLine="0" w:firstLineChars="0"/>
              <w:jc w:val="center"/>
              <w:rPr>
                <w:color w:val="auto"/>
              </w:rPr>
            </w:pPr>
            <w:r>
              <w:rPr>
                <w:rFonts w:hint="eastAsia"/>
                <w:color w:val="auto"/>
              </w:rPr>
              <w:t>□是：</w:t>
            </w:r>
          </w:p>
        </w:tc>
        <w:tc>
          <w:tcPr>
            <w:tcW w:w="1997" w:type="dxa"/>
            <w:tcMar>
              <w:top w:w="16" w:type="dxa"/>
              <w:left w:w="16" w:type="dxa"/>
              <w:right w:w="16" w:type="dxa"/>
            </w:tcMar>
            <w:vAlign w:val="center"/>
          </w:tcPr>
          <w:p>
            <w:pPr>
              <w:spacing w:line="240" w:lineRule="auto"/>
              <w:ind w:firstLine="0" w:firstLineChars="0"/>
              <w:jc w:val="center"/>
              <w:rPr>
                <w:color w:val="auto"/>
              </w:rPr>
            </w:pPr>
            <w:r>
              <w:rPr>
                <w:rFonts w:hint="eastAsia"/>
                <w:color w:val="auto"/>
              </w:rPr>
              <w:t>用地（用海）</w:t>
            </w:r>
          </w:p>
          <w:p>
            <w:pPr>
              <w:spacing w:line="240" w:lineRule="auto"/>
              <w:ind w:firstLine="0" w:firstLineChars="0"/>
              <w:jc w:val="center"/>
              <w:rPr>
                <w:color w:val="auto"/>
              </w:rPr>
            </w:pPr>
            <w:r>
              <w:rPr>
                <w:rFonts w:hint="eastAsia"/>
                <w:color w:val="auto"/>
              </w:rPr>
              <w:t>面积（</w:t>
            </w:r>
            <w:r>
              <w:rPr>
                <w:color w:val="auto"/>
              </w:rPr>
              <w:t>m</w:t>
            </w:r>
            <w:r>
              <w:rPr>
                <w:color w:val="auto"/>
                <w:vertAlign w:val="superscript"/>
              </w:rPr>
              <w:t>2</w:t>
            </w:r>
            <w:r>
              <w:rPr>
                <w:rFonts w:hint="eastAsia"/>
                <w:color w:val="auto"/>
              </w:rPr>
              <w:t>）</w:t>
            </w:r>
          </w:p>
        </w:tc>
        <w:tc>
          <w:tcPr>
            <w:tcW w:w="3477" w:type="dxa"/>
            <w:vAlign w:val="center"/>
          </w:tcPr>
          <w:p>
            <w:pPr>
              <w:spacing w:line="240" w:lineRule="auto"/>
              <w:ind w:firstLine="0" w:firstLineChars="0"/>
              <w:jc w:val="center"/>
              <w:rPr>
                <w:color w:val="auto"/>
              </w:rPr>
            </w:pPr>
            <w:r>
              <w:rPr>
                <w:rFonts w:hint="eastAsia"/>
                <w:color w:val="auto"/>
              </w:rPr>
              <w:t>11000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825" w:type="dxa"/>
            <w:vAlign w:val="center"/>
          </w:tcPr>
          <w:p>
            <w:pPr>
              <w:spacing w:line="240" w:lineRule="auto"/>
              <w:ind w:firstLine="0" w:firstLineChars="0"/>
              <w:rPr>
                <w:color w:val="auto"/>
              </w:rPr>
            </w:pPr>
            <w:r>
              <w:rPr>
                <w:rFonts w:hint="eastAsia"/>
                <w:color w:val="auto"/>
              </w:rPr>
              <w:t>专项评价设置情况</w:t>
            </w:r>
          </w:p>
        </w:tc>
        <w:tc>
          <w:tcPr>
            <w:tcW w:w="7045" w:type="dxa"/>
            <w:gridSpan w:val="3"/>
            <w:vAlign w:val="center"/>
          </w:tcPr>
          <w:p>
            <w:pPr>
              <w:ind w:firstLine="0" w:firstLineChars="0"/>
              <w:rPr>
                <w:color w:val="auto"/>
              </w:rPr>
            </w:pPr>
            <w:r>
              <w:rPr>
                <w:rFonts w:hint="eastAsia"/>
                <w:color w:val="auto"/>
              </w:rPr>
              <w:t>本项目排放污染物中含有苯并[a]芘，项目周边500m范围内有科加村，设置大气专项评价。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825" w:type="dxa"/>
            <w:vAlign w:val="center"/>
          </w:tcPr>
          <w:p>
            <w:pPr>
              <w:spacing w:line="240" w:lineRule="auto"/>
              <w:ind w:firstLine="0" w:firstLineChars="0"/>
              <w:rPr>
                <w:color w:val="auto"/>
              </w:rPr>
            </w:pPr>
            <w:r>
              <w:rPr>
                <w:rFonts w:hint="eastAsia"/>
                <w:color w:val="auto"/>
              </w:rPr>
              <w:t>规划情况</w:t>
            </w:r>
          </w:p>
        </w:tc>
        <w:tc>
          <w:tcPr>
            <w:tcW w:w="7045" w:type="dxa"/>
            <w:gridSpan w:val="3"/>
            <w:vAlign w:val="center"/>
          </w:tcPr>
          <w:p>
            <w:pPr>
              <w:ind w:firstLine="0" w:firstLineChars="0"/>
              <w:jc w:val="center"/>
              <w:rPr>
                <w:color w:val="auto"/>
              </w:rPr>
            </w:pPr>
            <w:r>
              <w:rPr>
                <w:color w:val="auto"/>
                <w:kern w:val="0"/>
              </w:rPr>
              <w:t>《同德县省级扶贫产业园总体规划</w:t>
            </w:r>
            <w:r>
              <w:rPr>
                <w:rFonts w:hint="eastAsia"/>
                <w:color w:val="auto"/>
                <w:kern w:val="0"/>
              </w:rPr>
              <w:t>（2014-2030）</w:t>
            </w:r>
            <w:r>
              <w:rPr>
                <w:color w:val="auto"/>
                <w:kern w:val="0"/>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825" w:type="dxa"/>
            <w:vAlign w:val="center"/>
          </w:tcPr>
          <w:p>
            <w:pPr>
              <w:spacing w:line="240" w:lineRule="auto"/>
              <w:ind w:firstLine="0" w:firstLineChars="0"/>
              <w:rPr>
                <w:color w:val="auto"/>
              </w:rPr>
            </w:pPr>
            <w:r>
              <w:rPr>
                <w:rFonts w:hint="eastAsia"/>
                <w:color w:val="auto"/>
              </w:rPr>
              <w:t>规划环境影响</w:t>
            </w:r>
          </w:p>
          <w:p>
            <w:pPr>
              <w:spacing w:line="240" w:lineRule="auto"/>
              <w:ind w:firstLine="0" w:firstLineChars="0"/>
              <w:rPr>
                <w:color w:val="auto"/>
              </w:rPr>
            </w:pPr>
            <w:r>
              <w:rPr>
                <w:rFonts w:hint="eastAsia"/>
                <w:color w:val="auto"/>
              </w:rPr>
              <w:t>评价情况</w:t>
            </w:r>
          </w:p>
        </w:tc>
        <w:tc>
          <w:tcPr>
            <w:tcW w:w="7045" w:type="dxa"/>
            <w:gridSpan w:val="3"/>
            <w:vAlign w:val="center"/>
          </w:tcPr>
          <w:p>
            <w:pPr>
              <w:ind w:firstLine="0" w:firstLineChars="0"/>
              <w:rPr>
                <w:color w:val="auto"/>
              </w:rPr>
            </w:pPr>
            <w:r>
              <w:rPr>
                <w:color w:val="auto"/>
                <w:kern w:val="0"/>
              </w:rPr>
              <w:t>《同德县省级扶贫产业园总体规划</w:t>
            </w:r>
            <w:r>
              <w:rPr>
                <w:rFonts w:hint="eastAsia"/>
                <w:color w:val="auto"/>
                <w:kern w:val="0"/>
              </w:rPr>
              <w:t>（2014-2030）</w:t>
            </w:r>
            <w:r>
              <w:rPr>
                <w:color w:val="auto"/>
              </w:rPr>
              <w:t>环境影响报告书</w:t>
            </w:r>
            <w:r>
              <w:rPr>
                <w:color w:val="auto"/>
                <w:kern w:val="0"/>
              </w:rPr>
              <w:t>》及审查意见（</w:t>
            </w:r>
            <w:bookmarkStart w:id="2" w:name="_GoBack"/>
            <w:bookmarkEnd w:id="2"/>
            <w:r>
              <w:rPr>
                <w:rFonts w:hint="eastAsia"/>
                <w:color w:val="auto"/>
                <w:kern w:val="0"/>
              </w:rPr>
              <w:t>同环林</w:t>
            </w:r>
            <w:r>
              <w:rPr>
                <w:color w:val="auto"/>
                <w:kern w:val="0"/>
              </w:rPr>
              <w:t>[20</w:t>
            </w:r>
            <w:r>
              <w:rPr>
                <w:rFonts w:hint="eastAsia"/>
                <w:color w:val="auto"/>
                <w:kern w:val="0"/>
              </w:rPr>
              <w:t>17</w:t>
            </w:r>
            <w:r>
              <w:rPr>
                <w:color w:val="auto"/>
                <w:kern w:val="0"/>
              </w:rPr>
              <w:t>]</w:t>
            </w:r>
            <w:r>
              <w:rPr>
                <w:rFonts w:hint="eastAsia"/>
                <w:color w:val="auto"/>
                <w:kern w:val="0"/>
              </w:rPr>
              <w:t>251</w:t>
            </w:r>
            <w:r>
              <w:rPr>
                <w:color w:val="auto"/>
                <w:kern w:val="0"/>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93" w:hRule="atLeast"/>
          <w:jc w:val="center"/>
        </w:trPr>
        <w:tc>
          <w:tcPr>
            <w:tcW w:w="1825" w:type="dxa"/>
            <w:vAlign w:val="center"/>
          </w:tcPr>
          <w:p>
            <w:pPr>
              <w:spacing w:line="240" w:lineRule="auto"/>
              <w:ind w:firstLine="0" w:firstLineChars="0"/>
              <w:rPr>
                <w:color w:val="auto"/>
              </w:rPr>
            </w:pPr>
            <w:r>
              <w:rPr>
                <w:rFonts w:hint="eastAsia"/>
                <w:color w:val="auto"/>
              </w:rPr>
              <w:t>规划及规划环境影响评价符合性分析</w:t>
            </w:r>
          </w:p>
        </w:tc>
        <w:tc>
          <w:tcPr>
            <w:tcW w:w="7045" w:type="dxa"/>
            <w:gridSpan w:val="3"/>
            <w:vAlign w:val="center"/>
          </w:tcPr>
          <w:p>
            <w:pPr>
              <w:ind w:firstLine="480"/>
              <w:rPr>
                <w:color w:val="auto"/>
              </w:rPr>
            </w:pPr>
            <w:r>
              <w:rPr>
                <w:rFonts w:hint="eastAsia"/>
                <w:color w:val="auto"/>
              </w:rPr>
              <w:t>同德县荣荣混凝土有限公司年产10万方商品混凝土及3万吨新型环保沥青路面混凝土搅拌站位于同德县尕巴松多镇科加村省级扶贫产业园（</w:t>
            </w:r>
            <w:r>
              <w:rPr>
                <w:rFonts w:hint="eastAsia"/>
                <w:color w:val="auto"/>
                <w:szCs w:val="21"/>
              </w:rPr>
              <w:t>详见附图1</w:t>
            </w:r>
            <w:r>
              <w:rPr>
                <w:rFonts w:hint="eastAsia"/>
                <w:color w:val="auto"/>
              </w:rPr>
              <w:t>）。</w:t>
            </w:r>
          </w:p>
          <w:p>
            <w:pPr>
              <w:ind w:firstLine="482"/>
              <w:rPr>
                <w:rFonts w:hint="eastAsia" w:ascii="宋体" w:hAnsi="宋体" w:cs="宋体"/>
                <w:b/>
                <w:bCs/>
                <w:color w:val="auto"/>
                <w:kern w:val="0"/>
              </w:rPr>
            </w:pPr>
            <w:r>
              <w:rPr>
                <w:rFonts w:hint="eastAsia" w:ascii="宋体" w:hAnsi="宋体" w:cs="宋体"/>
                <w:b/>
                <w:bCs/>
                <w:color w:val="auto"/>
                <w:kern w:val="0"/>
              </w:rPr>
              <w:t>1、《同德县省级扶贫产业园总体规划（2014-2030）》符合性分析</w:t>
            </w:r>
          </w:p>
          <w:p>
            <w:pPr>
              <w:ind w:firstLine="480"/>
              <w:rPr>
                <w:rFonts w:hint="eastAsia" w:ascii="宋体" w:hAnsi="宋体"/>
                <w:color w:val="auto"/>
              </w:rPr>
            </w:pPr>
            <w:r>
              <w:rPr>
                <w:rFonts w:ascii="宋体" w:hAnsi="宋体"/>
                <w:color w:val="auto"/>
              </w:rPr>
              <w:t>同德县省级扶贫产业园</w:t>
            </w:r>
            <w:r>
              <w:rPr>
                <w:rFonts w:hint="eastAsia" w:ascii="宋体" w:hAnsi="宋体"/>
                <w:color w:val="auto"/>
              </w:rPr>
              <w:t>位于</w:t>
            </w:r>
            <w:r>
              <w:rPr>
                <w:rFonts w:ascii="宋体" w:hAnsi="宋体"/>
                <w:color w:val="auto"/>
              </w:rPr>
              <w:t>位于</w:t>
            </w:r>
            <w:r>
              <w:rPr>
                <w:rFonts w:hint="eastAsia"/>
                <w:color w:val="auto"/>
              </w:rPr>
              <w:t>同德县尕巴松多镇科加村</w:t>
            </w:r>
            <w:r>
              <w:rPr>
                <w:rFonts w:ascii="宋体" w:hAnsi="宋体"/>
                <w:color w:val="auto"/>
              </w:rPr>
              <w:t>，同德县省级扶贫产业园区规划范围为，西北以省道311为界，其余方向以现状陡坎为界，规划用地总面积28.87公顷</w:t>
            </w:r>
            <w:r>
              <w:rPr>
                <w:rFonts w:hint="eastAsia" w:ascii="宋体" w:hAnsi="宋体"/>
                <w:color w:val="auto"/>
              </w:rPr>
              <w:t>。</w:t>
            </w:r>
          </w:p>
          <w:p>
            <w:pPr>
              <w:ind w:firstLine="480"/>
              <w:rPr>
                <w:rFonts w:hint="eastAsia" w:ascii="宋体" w:hAnsi="宋体" w:cs="宋体"/>
                <w:color w:val="auto"/>
                <w:kern w:val="0"/>
              </w:rPr>
            </w:pPr>
            <w:r>
              <w:rPr>
                <w:rFonts w:hint="eastAsia" w:ascii="宋体" w:hAnsi="宋体" w:cs="宋体"/>
                <w:color w:val="auto"/>
                <w:kern w:val="0"/>
              </w:rPr>
              <w:t>按照国家相关政策和要求，以资源优势为主导，资源的节约和综合高效利用、产品的清洁生产为重点，先进科学技术为支撑，经济与环境协调发展为目标，依托交通干线，围绕优势资源，形成横向扩展和资源精深加工的纵向延伸相结合的循环型产业链，开发农畜产品加工业、优质资源加工、特色手工艺品加工业、物流等优势产业，努力将特色资源优势转化为经济优势和竞争优势，扩大经济总量，力求优化产业结构，构建特色新型工业和畜牧业体系，在保护环境的前提下，科学合理地将特色资源最大限度地转化为特色产品，促进同德县经济社会全面发展。</w:t>
            </w:r>
          </w:p>
          <w:p>
            <w:pPr>
              <w:ind w:firstLine="480"/>
              <w:rPr>
                <w:rFonts w:hint="eastAsia" w:ascii="宋体" w:hAnsi="宋体" w:cs="宋体"/>
                <w:color w:val="auto"/>
                <w:kern w:val="0"/>
              </w:rPr>
            </w:pPr>
            <w:r>
              <w:rPr>
                <w:rFonts w:hint="eastAsia" w:ascii="宋体" w:hAnsi="宋体" w:cs="宋体"/>
                <w:color w:val="auto"/>
                <w:kern w:val="0"/>
              </w:rPr>
              <w:t>根据规划区自然地理、发展建设条件和资源、产业、交通基础设施等影响因素，在充分引进产业类型及规模的基础上，扶贫产业园总体形成“一轴、两区”的功能结构。</w:t>
            </w:r>
          </w:p>
          <w:p>
            <w:pPr>
              <w:ind w:firstLine="480"/>
              <w:rPr>
                <w:rFonts w:hint="eastAsia" w:ascii="宋体" w:hAnsi="宋体" w:cs="宋体"/>
                <w:color w:val="auto"/>
                <w:kern w:val="0"/>
              </w:rPr>
            </w:pPr>
            <w:r>
              <w:rPr>
                <w:rFonts w:hint="eastAsia" w:ascii="宋体" w:hAnsi="宋体" w:cs="宋体"/>
                <w:color w:val="auto"/>
                <w:kern w:val="0"/>
              </w:rPr>
              <w:t>“一轴”：以园区中部东西向主要道路为发展轴线，各片区产业项目沿轴线布置，同时沿轴线敷设各类工程管线，以节约投资，方便入驻企业使用。</w:t>
            </w:r>
          </w:p>
          <w:p>
            <w:pPr>
              <w:ind w:firstLine="480"/>
              <w:rPr>
                <w:rFonts w:hint="eastAsia" w:ascii="宋体" w:hAnsi="宋体" w:cs="宋体"/>
                <w:color w:val="auto"/>
                <w:kern w:val="0"/>
              </w:rPr>
            </w:pPr>
            <w:r>
              <w:rPr>
                <w:rFonts w:hint="eastAsia" w:ascii="宋体" w:hAnsi="宋体" w:cs="宋体"/>
                <w:color w:val="auto"/>
                <w:kern w:val="0"/>
              </w:rPr>
              <w:t>“两区”：沿轴线形成仓储物流区、工业区两个功能区。</w:t>
            </w:r>
          </w:p>
          <w:p>
            <w:pPr>
              <w:ind w:firstLine="480"/>
              <w:rPr>
                <w:rFonts w:hint="eastAsia" w:ascii="宋体" w:hAnsi="宋体" w:cs="宋体"/>
                <w:color w:val="auto"/>
                <w:kern w:val="0"/>
              </w:rPr>
            </w:pPr>
            <w:r>
              <w:rPr>
                <w:rFonts w:hint="eastAsia" w:ascii="宋体" w:hAnsi="宋体" w:cs="宋体"/>
                <w:color w:val="auto"/>
                <w:kern w:val="0"/>
              </w:rPr>
              <w:t>仓储物流区：园区内的仓储物流区主要肩负农畜资源转运及应急物资储备两项职能，为周边农牧业的发展提供物流保障，提升县域畜牧业的抗灾能力。</w:t>
            </w:r>
          </w:p>
          <w:p>
            <w:pPr>
              <w:ind w:firstLine="480"/>
              <w:rPr>
                <w:rFonts w:hint="eastAsia" w:ascii="宋体" w:hAnsi="宋体"/>
                <w:color w:val="auto"/>
              </w:rPr>
            </w:pPr>
            <w:r>
              <w:rPr>
                <w:rFonts w:hint="eastAsia" w:ascii="宋体" w:hAnsi="宋体" w:cs="宋体"/>
                <w:color w:val="auto"/>
                <w:kern w:val="0"/>
              </w:rPr>
              <w:t>工业区：集中布置各类产业项目，以畜产品、优质资源及特色手工艺品加工为主，逐步形成规模化的产业园区。</w:t>
            </w:r>
          </w:p>
          <w:p>
            <w:pPr>
              <w:ind w:firstLine="480"/>
              <w:rPr>
                <w:color w:val="auto"/>
              </w:rPr>
            </w:pPr>
            <w:r>
              <w:rPr>
                <w:rFonts w:hint="eastAsia" w:ascii="宋体" w:hAnsi="宋体" w:cs="宋体"/>
                <w:color w:val="auto"/>
                <w:kern w:val="0"/>
              </w:rPr>
              <w:t>项目用地性质为</w:t>
            </w:r>
            <w:r>
              <w:rPr>
                <w:rFonts w:hint="eastAsia" w:ascii="宋体" w:hAnsi="宋体" w:cs="宋体"/>
                <w:color w:val="auto"/>
              </w:rPr>
              <w:t>工业用地，项目拟建区域现为园区空地。拟建区域属于</w:t>
            </w:r>
            <w:r>
              <w:rPr>
                <w:rFonts w:hint="eastAsia" w:ascii="宋体" w:hAnsi="宋体" w:cs="宋体"/>
                <w:color w:val="auto"/>
                <w:kern w:val="0"/>
              </w:rPr>
              <w:t>《</w:t>
            </w:r>
            <w:r>
              <w:rPr>
                <w:rFonts w:ascii="宋体" w:hAnsi="宋体"/>
                <w:color w:val="auto"/>
              </w:rPr>
              <w:t>同德县省级扶贫产业园</w:t>
            </w:r>
            <w:r>
              <w:rPr>
                <w:rFonts w:hint="eastAsia" w:ascii="宋体" w:hAnsi="宋体" w:cs="宋体"/>
                <w:color w:val="auto"/>
                <w:kern w:val="0"/>
              </w:rPr>
              <w:t>》园区空间结构</w:t>
            </w:r>
            <w:r>
              <w:rPr>
                <w:rFonts w:hint="eastAsia" w:ascii="宋体" w:hAnsi="宋体"/>
                <w:color w:val="auto"/>
              </w:rPr>
              <w:t>“两区”中的“工业区”。</w:t>
            </w:r>
            <w:r>
              <w:rPr>
                <w:rFonts w:hint="eastAsia"/>
                <w:color w:val="auto"/>
              </w:rPr>
              <w:t>本项目为新型建材生产项目</w:t>
            </w:r>
            <w:r>
              <w:rPr>
                <w:color w:val="auto"/>
              </w:rPr>
              <w:t>，建设符合规划。</w:t>
            </w:r>
          </w:p>
          <w:p>
            <w:pPr>
              <w:ind w:firstLine="482"/>
              <w:rPr>
                <w:rFonts w:hint="eastAsia" w:ascii="宋体" w:hAnsi="宋体" w:cs="宋体"/>
                <w:b/>
                <w:bCs/>
                <w:color w:val="auto"/>
                <w:kern w:val="0"/>
              </w:rPr>
            </w:pPr>
            <w:r>
              <w:rPr>
                <w:rFonts w:hint="eastAsia" w:ascii="宋体" w:hAnsi="宋体" w:cs="宋体"/>
                <w:b/>
                <w:bCs/>
                <w:color w:val="auto"/>
                <w:kern w:val="0"/>
              </w:rPr>
              <w:t>2、《同德县省级扶贫产业园总体规划（2014-2030））环境影响报告书》及审查意见符合性分析</w:t>
            </w:r>
          </w:p>
          <w:p>
            <w:pPr>
              <w:ind w:firstLine="480"/>
              <w:rPr>
                <w:rFonts w:hint="eastAsia" w:ascii="宋体" w:hAnsi="宋体" w:cs="宋体"/>
                <w:color w:val="auto"/>
                <w:kern w:val="0"/>
              </w:rPr>
            </w:pPr>
            <w:r>
              <w:rPr>
                <w:rFonts w:hint="eastAsia" w:ascii="宋体" w:hAnsi="宋体" w:cs="宋体"/>
                <w:color w:val="auto"/>
                <w:kern w:val="0"/>
              </w:rPr>
              <w:t>根据《同德县省级扶贫产业园总体规划（2014-2030））环境影响报告书》及审查意见（同环林</w:t>
            </w:r>
            <w:r>
              <w:rPr>
                <w:rFonts w:ascii="宋体" w:hAnsi="宋体" w:cs="宋体"/>
                <w:color w:val="auto"/>
                <w:kern w:val="0"/>
              </w:rPr>
              <w:t>[20</w:t>
            </w:r>
            <w:r>
              <w:rPr>
                <w:rFonts w:hint="eastAsia" w:ascii="宋体" w:hAnsi="宋体" w:cs="宋体"/>
                <w:color w:val="auto"/>
                <w:kern w:val="0"/>
              </w:rPr>
              <w:t>17</w:t>
            </w:r>
            <w:r>
              <w:rPr>
                <w:rFonts w:ascii="宋体" w:hAnsi="宋体" w:cs="宋体"/>
                <w:color w:val="auto"/>
                <w:kern w:val="0"/>
              </w:rPr>
              <w:t>]</w:t>
            </w:r>
            <w:r>
              <w:rPr>
                <w:rFonts w:hint="eastAsia" w:ascii="宋体" w:hAnsi="宋体" w:cs="宋体"/>
                <w:color w:val="auto"/>
                <w:kern w:val="0"/>
              </w:rPr>
              <w:t>251</w:t>
            </w:r>
            <w:r>
              <w:rPr>
                <w:rFonts w:ascii="宋体" w:hAnsi="宋体" w:cs="宋体"/>
                <w:color w:val="auto"/>
                <w:kern w:val="0"/>
              </w:rPr>
              <w:t>号</w:t>
            </w:r>
            <w:r>
              <w:rPr>
                <w:rFonts w:hint="eastAsia" w:ascii="宋体" w:hAnsi="宋体" w:cs="宋体"/>
                <w:color w:val="auto"/>
                <w:kern w:val="0"/>
              </w:rPr>
              <w:t>），本项目与园区规划的相符性分析详见下表。</w:t>
            </w:r>
          </w:p>
          <w:p>
            <w:pPr>
              <w:ind w:firstLine="482"/>
              <w:jc w:val="center"/>
              <w:rPr>
                <w:rFonts w:hint="eastAsia" w:ascii="宋体" w:hAnsi="宋体" w:cs="宋体"/>
                <w:b/>
                <w:bCs/>
                <w:color w:val="auto"/>
                <w:szCs w:val="21"/>
              </w:rPr>
            </w:pPr>
            <w:r>
              <w:rPr>
                <w:rFonts w:hint="eastAsia" w:ascii="宋体" w:hAnsi="宋体" w:cs="宋体"/>
                <w:b/>
                <w:bCs/>
                <w:color w:val="auto"/>
                <w:szCs w:val="21"/>
              </w:rPr>
              <w:t>表2  本项目与园区规划相符性分析</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7"/>
              <w:gridCol w:w="2238"/>
              <w:gridCol w:w="1858"/>
              <w:gridCol w:w="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362" w:type="pct"/>
                  <w:vAlign w:val="center"/>
                </w:tcPr>
                <w:p>
                  <w:pPr>
                    <w:ind w:firstLine="0" w:firstLineChars="0"/>
                    <w:jc w:val="center"/>
                    <w:rPr>
                      <w:rFonts w:hint="eastAsia" w:ascii="宋体" w:hAnsi="宋体" w:cs="宋体"/>
                      <w:b/>
                      <w:bCs/>
                      <w:color w:val="auto"/>
                      <w:sz w:val="21"/>
                      <w:szCs w:val="21"/>
                    </w:rPr>
                  </w:pPr>
                  <w:r>
                    <w:rPr>
                      <w:rFonts w:hint="eastAsia" w:ascii="宋体" w:hAnsi="宋体" w:cs="宋体"/>
                      <w:b/>
                      <w:bCs/>
                      <w:color w:val="auto"/>
                      <w:sz w:val="21"/>
                      <w:szCs w:val="21"/>
                    </w:rPr>
                    <w:t>类别</w:t>
                  </w:r>
                </w:p>
              </w:tc>
              <w:tc>
                <w:tcPr>
                  <w:tcW w:w="1642" w:type="pct"/>
                  <w:vAlign w:val="center"/>
                </w:tcPr>
                <w:p>
                  <w:pPr>
                    <w:widowControl/>
                    <w:ind w:firstLine="0" w:firstLineChars="0"/>
                    <w:jc w:val="center"/>
                    <w:rPr>
                      <w:rFonts w:hint="eastAsia" w:ascii="宋体" w:hAnsi="宋体" w:cs="宋体"/>
                      <w:b/>
                      <w:bCs/>
                      <w:color w:val="auto"/>
                      <w:sz w:val="21"/>
                      <w:szCs w:val="21"/>
                    </w:rPr>
                  </w:pPr>
                  <w:r>
                    <w:rPr>
                      <w:rFonts w:hint="eastAsia" w:ascii="宋体" w:hAnsi="宋体" w:cs="宋体"/>
                      <w:b/>
                      <w:bCs/>
                      <w:color w:val="auto"/>
                      <w:sz w:val="21"/>
                      <w:szCs w:val="21"/>
                    </w:rPr>
                    <w:t>相应要求</w:t>
                  </w:r>
                </w:p>
              </w:tc>
              <w:tc>
                <w:tcPr>
                  <w:tcW w:w="1362" w:type="pct"/>
                  <w:vAlign w:val="center"/>
                </w:tcPr>
                <w:p>
                  <w:pPr>
                    <w:ind w:firstLine="0" w:firstLineChars="0"/>
                    <w:jc w:val="center"/>
                    <w:rPr>
                      <w:rFonts w:hint="eastAsia" w:ascii="宋体" w:hAnsi="宋体" w:cs="宋体"/>
                      <w:b/>
                      <w:bCs/>
                      <w:color w:val="auto"/>
                      <w:sz w:val="21"/>
                      <w:szCs w:val="21"/>
                    </w:rPr>
                  </w:pPr>
                  <w:r>
                    <w:rPr>
                      <w:rFonts w:hint="eastAsia" w:ascii="宋体" w:hAnsi="宋体" w:cs="宋体"/>
                      <w:b/>
                      <w:bCs/>
                      <w:color w:val="auto"/>
                      <w:sz w:val="21"/>
                      <w:szCs w:val="21"/>
                    </w:rPr>
                    <w:t>本项目</w:t>
                  </w:r>
                </w:p>
              </w:tc>
              <w:tc>
                <w:tcPr>
                  <w:tcW w:w="632" w:type="pct"/>
                  <w:vAlign w:val="center"/>
                </w:tcPr>
                <w:p>
                  <w:pPr>
                    <w:ind w:firstLine="0" w:firstLineChars="0"/>
                    <w:jc w:val="center"/>
                    <w:rPr>
                      <w:rFonts w:hint="eastAsia" w:ascii="宋体" w:hAnsi="宋体" w:cs="宋体"/>
                      <w:b/>
                      <w:bCs/>
                      <w:color w:val="auto"/>
                      <w:sz w:val="21"/>
                      <w:szCs w:val="21"/>
                    </w:rPr>
                  </w:pPr>
                  <w:r>
                    <w:rPr>
                      <w:rFonts w:hint="eastAsia" w:ascii="宋体" w:hAnsi="宋体" w:cs="宋体"/>
                      <w:b/>
                      <w:bCs/>
                      <w:color w:val="auto"/>
                      <w:sz w:val="2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4" w:hRule="atLeast"/>
                <w:jc w:val="center"/>
              </w:trPr>
              <w:tc>
                <w:tcPr>
                  <w:tcW w:w="1362" w:type="pct"/>
                  <w:vMerge w:val="restart"/>
                  <w:vAlign w:val="center"/>
                </w:tcPr>
                <w:p>
                  <w:pPr>
                    <w:ind w:firstLine="0" w:firstLineChars="0"/>
                    <w:jc w:val="center"/>
                    <w:rPr>
                      <w:rFonts w:hint="eastAsia" w:ascii="宋体" w:hAnsi="宋体" w:cs="宋体"/>
                      <w:color w:val="auto"/>
                      <w:sz w:val="21"/>
                      <w:szCs w:val="21"/>
                    </w:rPr>
                  </w:pPr>
                  <w:r>
                    <w:rPr>
                      <w:rFonts w:hint="eastAsia" w:ascii="宋体" w:hAnsi="宋体" w:cs="宋体"/>
                      <w:color w:val="auto"/>
                      <w:kern w:val="0"/>
                      <w:sz w:val="21"/>
                      <w:szCs w:val="21"/>
                    </w:rPr>
                    <w:t>《同德县省级扶贫产业园总体规划（2014-2030））环境影响报告书》及审查意见</w:t>
                  </w:r>
                </w:p>
              </w:tc>
              <w:tc>
                <w:tcPr>
                  <w:tcW w:w="1642" w:type="pct"/>
                  <w:vAlign w:val="center"/>
                </w:tcPr>
                <w:p>
                  <w:pPr>
                    <w:ind w:firstLine="0" w:firstLineChars="0"/>
                    <w:jc w:val="center"/>
                    <w:rPr>
                      <w:rFonts w:hint="eastAsia" w:ascii="宋体" w:hAnsi="宋体" w:cs="宋体"/>
                      <w:color w:val="auto"/>
                      <w:kern w:val="0"/>
                      <w:sz w:val="21"/>
                      <w:szCs w:val="21"/>
                    </w:rPr>
                  </w:pPr>
                  <w:r>
                    <w:rPr>
                      <w:rFonts w:hint="eastAsia" w:ascii="宋体" w:hAnsi="宋体" w:cs="宋体"/>
                      <w:color w:val="auto"/>
                      <w:kern w:val="0"/>
                      <w:sz w:val="21"/>
                      <w:szCs w:val="21"/>
                    </w:rPr>
                    <w:t>坚持生态保护优先原则。进一步明确园区功能定位和园区内产业布局，保证各类自然资源合理开发和利用，避免过度开发，确保周边生态功能保持稳定。</w:t>
                  </w:r>
                </w:p>
                <w:p>
                  <w:pPr>
                    <w:widowControl/>
                    <w:ind w:firstLine="0" w:firstLineChars="0"/>
                    <w:jc w:val="center"/>
                    <w:rPr>
                      <w:rFonts w:hint="eastAsia" w:ascii="宋体" w:hAnsi="宋体" w:cs="宋体"/>
                      <w:bCs/>
                      <w:color w:val="auto"/>
                      <w:sz w:val="21"/>
                      <w:szCs w:val="21"/>
                    </w:rPr>
                  </w:pPr>
                </w:p>
              </w:tc>
              <w:tc>
                <w:tcPr>
                  <w:tcW w:w="1362" w:type="pct"/>
                  <w:vAlign w:val="center"/>
                </w:tcPr>
                <w:p>
                  <w:pPr>
                    <w:ind w:firstLine="0" w:firstLineChars="0"/>
                    <w:jc w:val="center"/>
                    <w:rPr>
                      <w:rFonts w:hint="eastAsia" w:ascii="宋体" w:hAnsi="宋体" w:cs="宋体"/>
                      <w:bCs/>
                      <w:color w:val="auto"/>
                      <w:sz w:val="21"/>
                      <w:szCs w:val="21"/>
                    </w:rPr>
                  </w:pPr>
                  <w:r>
                    <w:rPr>
                      <w:rFonts w:hint="eastAsia" w:ascii="宋体" w:hAnsi="宋体" w:cs="宋体"/>
                      <w:color w:val="auto"/>
                      <w:kern w:val="0"/>
                      <w:sz w:val="21"/>
                      <w:szCs w:val="21"/>
                    </w:rPr>
                    <w:t>本项目为于新型建材项目，使用的原材料均为周边或其他地方购置。</w:t>
                  </w:r>
                </w:p>
              </w:tc>
              <w:tc>
                <w:tcPr>
                  <w:tcW w:w="632" w:type="pct"/>
                  <w:vAlign w:val="center"/>
                </w:tcPr>
                <w:p>
                  <w:pPr>
                    <w:widowControl/>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7" w:hRule="atLeast"/>
                <w:jc w:val="center"/>
              </w:trPr>
              <w:tc>
                <w:tcPr>
                  <w:tcW w:w="1362" w:type="pct"/>
                  <w:vMerge w:val="continue"/>
                  <w:vAlign w:val="center"/>
                </w:tcPr>
                <w:p>
                  <w:pPr>
                    <w:ind w:firstLine="0" w:firstLineChars="0"/>
                    <w:jc w:val="center"/>
                    <w:rPr>
                      <w:rFonts w:hint="eastAsia" w:ascii="宋体" w:hAnsi="宋体" w:cs="宋体"/>
                      <w:color w:val="auto"/>
                      <w:kern w:val="0"/>
                      <w:sz w:val="21"/>
                      <w:szCs w:val="21"/>
                    </w:rPr>
                  </w:pPr>
                </w:p>
              </w:tc>
              <w:tc>
                <w:tcPr>
                  <w:tcW w:w="1642" w:type="pct"/>
                  <w:vAlign w:val="center"/>
                </w:tcPr>
                <w:p>
                  <w:pPr>
                    <w:widowControl/>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强化环境管理手段运用。以“生态保护红线、环境质量底线、资源利用上线和环境准入负面清单”为手段，强化园区空间、总量和环境准入管理，严格执行省政府办公厅《关于印发青海省国家重点生态功能区产业准入负面清单（试行）的通知》（青政办[2017]88号）规定，杜绝高耗能、高污染和资源消耗型项目入驻。</w:t>
                  </w:r>
                </w:p>
              </w:tc>
              <w:tc>
                <w:tcPr>
                  <w:tcW w:w="1362" w:type="pct"/>
                  <w:vAlign w:val="center"/>
                </w:tcPr>
                <w:p>
                  <w:pPr>
                    <w:widowControl/>
                    <w:ind w:firstLine="0" w:firstLineChars="0"/>
                    <w:jc w:val="center"/>
                    <w:rPr>
                      <w:rFonts w:hint="eastAsia" w:ascii="宋体" w:hAnsi="宋体" w:cs="宋体"/>
                      <w:bCs/>
                      <w:color w:val="auto"/>
                      <w:sz w:val="21"/>
                      <w:szCs w:val="21"/>
                    </w:rPr>
                  </w:pPr>
                  <w:r>
                    <w:rPr>
                      <w:rFonts w:ascii="宋体" w:hAnsi="宋体" w:cs="宋体"/>
                      <w:bCs/>
                      <w:color w:val="auto"/>
                      <w:sz w:val="21"/>
                      <w:szCs w:val="21"/>
                    </w:rPr>
                    <w:t>根据《海南州2023年生态环境分区管控要求及准入清单》本项目位于海南藏族自治州同德县尕巴松多镇，属于同德县环境管控单元中的重点管控单元</w:t>
                  </w:r>
                  <w:r>
                    <w:rPr>
                      <w:rFonts w:hint="eastAsia" w:ascii="宋体" w:hAnsi="宋体" w:cs="宋体"/>
                      <w:bCs/>
                      <w:color w:val="auto"/>
                      <w:sz w:val="21"/>
                      <w:szCs w:val="21"/>
                    </w:rPr>
                    <w:t>，项目建设符合管控单元要求，项目本身不属于高耗能、高污染和资源消耗型项目</w:t>
                  </w:r>
                </w:p>
              </w:tc>
              <w:tc>
                <w:tcPr>
                  <w:tcW w:w="632" w:type="pct"/>
                  <w:vAlign w:val="center"/>
                </w:tcPr>
                <w:p>
                  <w:pPr>
                    <w:widowControl/>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362" w:type="pct"/>
                  <w:vMerge w:val="continue"/>
                  <w:vAlign w:val="center"/>
                </w:tcPr>
                <w:p>
                  <w:pPr>
                    <w:ind w:firstLine="0" w:firstLineChars="0"/>
                    <w:jc w:val="center"/>
                    <w:rPr>
                      <w:rFonts w:hint="eastAsia" w:ascii="宋体" w:hAnsi="宋体" w:cs="宋体"/>
                      <w:color w:val="auto"/>
                      <w:kern w:val="0"/>
                      <w:sz w:val="21"/>
                      <w:szCs w:val="21"/>
                    </w:rPr>
                  </w:pPr>
                </w:p>
              </w:tc>
              <w:tc>
                <w:tcPr>
                  <w:tcW w:w="1642" w:type="pct"/>
                  <w:vAlign w:val="center"/>
                </w:tcPr>
                <w:p>
                  <w:pPr>
                    <w:widowControl/>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全面落实污染防治和生态保护措施。以《报告书》提出的污染防治和生态保护措施为主，全面加强污染防治和生态保护，确保《规划》实施后，各项污染物排放达到相应的国家和地方环境标准，确保周边大气、水和声环境功能不降低。</w:t>
                  </w:r>
                </w:p>
              </w:tc>
              <w:tc>
                <w:tcPr>
                  <w:tcW w:w="1362" w:type="pct"/>
                  <w:vAlign w:val="center"/>
                </w:tcPr>
                <w:p>
                  <w:pPr>
                    <w:ind w:firstLine="0" w:firstLineChars="0"/>
                    <w:jc w:val="center"/>
                    <w:rPr>
                      <w:rFonts w:hint="eastAsia" w:ascii="宋体" w:hAnsi="宋体" w:cs="宋体"/>
                      <w:bCs/>
                      <w:color w:val="auto"/>
                      <w:sz w:val="21"/>
                      <w:szCs w:val="21"/>
                    </w:rPr>
                  </w:pPr>
                  <w:r>
                    <w:rPr>
                      <w:rFonts w:hint="eastAsia"/>
                      <w:color w:val="auto"/>
                      <w:sz w:val="21"/>
                      <w:szCs w:val="21"/>
                    </w:rPr>
                    <w:t>项目生活污水经过化粪池处理后排入市政污水管网，污水排入城镇下水道水质标准》（GB/T31962-2015）中的B级标准，无特别排放限值；</w:t>
                  </w:r>
                  <w:r>
                    <w:rPr>
                      <w:rFonts w:hint="eastAsia" w:ascii="宋体" w:hAnsi="宋体" w:cs="宋体"/>
                      <w:color w:val="auto"/>
                      <w:sz w:val="21"/>
                      <w:szCs w:val="21"/>
                    </w:rPr>
                    <w:t>项目燃油锅炉烟气排放执行《锅炉大气污染物排放标准》（GB13271-2014）</w:t>
                  </w:r>
                  <w:r>
                    <w:rPr>
                      <w:rFonts w:hint="eastAsia" w:ascii="宋体" w:hAnsi="宋体" w:cs="宋体"/>
                      <w:color w:val="auto"/>
                      <w:kern w:val="0"/>
                      <w:sz w:val="21"/>
                      <w:szCs w:val="21"/>
                    </w:rPr>
                    <w:t>。沥青烟气和骨料烘干废气经过处理后由同一排气筒排放，排放满足</w:t>
                  </w:r>
                  <w:r>
                    <w:rPr>
                      <w:rFonts w:hint="eastAsia"/>
                      <w:color w:val="auto"/>
                      <w:sz w:val="21"/>
                      <w:szCs w:val="21"/>
                    </w:rPr>
                    <w:t>《大气污染物综合排放标准》（GB16297—1996）中表2新污染源大气污染物排放限值；商品混凝土生产产生的粉尘执行《水泥工业大气污染物排放标准》（GB4915-2013）表3大气污染物无组织排放限值。</w:t>
                  </w:r>
                </w:p>
              </w:tc>
              <w:tc>
                <w:tcPr>
                  <w:tcW w:w="632" w:type="pct"/>
                  <w:vAlign w:val="center"/>
                </w:tcPr>
                <w:p>
                  <w:pPr>
                    <w:widowControl/>
                    <w:ind w:firstLine="0" w:firstLineChars="0"/>
                    <w:jc w:val="center"/>
                    <w:rPr>
                      <w:rFonts w:hint="eastAsia" w:ascii="宋体" w:hAnsi="宋体" w:cs="宋体"/>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3" w:hRule="atLeast"/>
                <w:jc w:val="center"/>
              </w:trPr>
              <w:tc>
                <w:tcPr>
                  <w:tcW w:w="1362" w:type="pct"/>
                  <w:vMerge w:val="continue"/>
                  <w:vAlign w:val="center"/>
                </w:tcPr>
                <w:p>
                  <w:pPr>
                    <w:ind w:firstLine="0" w:firstLineChars="0"/>
                    <w:jc w:val="center"/>
                    <w:rPr>
                      <w:rFonts w:hint="eastAsia" w:ascii="宋体" w:hAnsi="宋体" w:cs="宋体"/>
                      <w:color w:val="auto"/>
                      <w:kern w:val="0"/>
                      <w:sz w:val="21"/>
                      <w:szCs w:val="21"/>
                    </w:rPr>
                  </w:pPr>
                </w:p>
              </w:tc>
              <w:tc>
                <w:tcPr>
                  <w:tcW w:w="1642" w:type="pct"/>
                  <w:vAlign w:val="center"/>
                </w:tcPr>
                <w:p>
                  <w:pPr>
                    <w:widowControl/>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加强《规划》包含建设项目环境影响评价工作。《规划》包含建设项目，在开展环境影响评价时，应当遵循《报告书》提出的主要结论和生态环境保护、污染防治对策措施，进一步识别、明确保护目标，入驻园区的建设项目环境影响评价的内容可以根据该《报告书》适当简化。</w:t>
                  </w:r>
                </w:p>
              </w:tc>
              <w:tc>
                <w:tcPr>
                  <w:tcW w:w="1362" w:type="pct"/>
                  <w:vAlign w:val="center"/>
                </w:tcPr>
                <w:p>
                  <w:pPr>
                    <w:widowControl/>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项目运行过程中采取的污染防治措施遵循《报告书》提出的主要结论和生态环境保护、污染防治对策措施</w:t>
                  </w:r>
                </w:p>
              </w:tc>
              <w:tc>
                <w:tcPr>
                  <w:tcW w:w="632" w:type="pct"/>
                  <w:vAlign w:val="center"/>
                </w:tcPr>
                <w:p>
                  <w:pPr>
                    <w:widowControl/>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1" w:hRule="atLeast"/>
                <w:jc w:val="center"/>
              </w:trPr>
              <w:tc>
                <w:tcPr>
                  <w:tcW w:w="1362" w:type="pct"/>
                  <w:vMerge w:val="continue"/>
                  <w:vAlign w:val="center"/>
                </w:tcPr>
                <w:p>
                  <w:pPr>
                    <w:ind w:firstLine="0" w:firstLineChars="0"/>
                    <w:jc w:val="center"/>
                    <w:rPr>
                      <w:rFonts w:hint="eastAsia" w:ascii="宋体" w:hAnsi="宋体" w:cs="宋体"/>
                      <w:color w:val="auto"/>
                      <w:kern w:val="0"/>
                      <w:sz w:val="21"/>
                      <w:szCs w:val="21"/>
                    </w:rPr>
                  </w:pPr>
                </w:p>
              </w:tc>
              <w:tc>
                <w:tcPr>
                  <w:tcW w:w="1642" w:type="pct"/>
                  <w:vAlign w:val="center"/>
                </w:tcPr>
                <w:p>
                  <w:pPr>
                    <w:widowControl/>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完善环境保护设施建设。《报告书》提出的污水集中处理站、供热供气、景观绿化、垃圾处置、固体废物（含危险废物）管理、环境风险防范等设施和措施，应与园区同步规划、同步建设、同步落实。</w:t>
                  </w:r>
                </w:p>
              </w:tc>
              <w:tc>
                <w:tcPr>
                  <w:tcW w:w="1362" w:type="pct"/>
                  <w:vAlign w:val="center"/>
                </w:tcPr>
                <w:p>
                  <w:pPr>
                    <w:widowControl/>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本项目根据《报告书》提出的供热、景观绿化、垃圾处置、固体废物（含危险废物）管理、环境风险防范等设施和措施采取相应措施</w:t>
                  </w:r>
                </w:p>
              </w:tc>
              <w:tc>
                <w:tcPr>
                  <w:tcW w:w="632" w:type="pct"/>
                  <w:vAlign w:val="center"/>
                </w:tcPr>
                <w:p>
                  <w:pPr>
                    <w:widowControl/>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复合</w:t>
                  </w:r>
                </w:p>
              </w:tc>
            </w:tr>
          </w:tbl>
          <w:p>
            <w:pPr>
              <w:pStyle w:val="88"/>
              <w:ind w:firstLine="0" w:firstLineChars="0"/>
              <w:rPr>
                <w:color w:val="auto"/>
              </w:rPr>
            </w:pPr>
          </w:p>
          <w:p>
            <w:pPr>
              <w:widowControl/>
              <w:ind w:firstLine="0" w:firstLineChars="0"/>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8870" w:type="dxa"/>
            <w:gridSpan w:val="4"/>
            <w:vAlign w:val="center"/>
          </w:tcPr>
          <w:p>
            <w:pPr>
              <w:ind w:firstLine="0" w:firstLineChars="0"/>
              <w:rPr>
                <w:color w:val="auto"/>
              </w:rPr>
            </w:pPr>
            <w:r>
              <w:rPr>
                <w:rFonts w:hint="eastAsia"/>
                <w:b/>
                <w:bCs/>
                <w:color w:val="auto"/>
                <w:sz w:val="32"/>
                <w:szCs w:val="32"/>
              </w:rPr>
              <w:t>其他符合性分析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83" w:hRule="atLeast"/>
          <w:jc w:val="center"/>
        </w:trPr>
        <w:tc>
          <w:tcPr>
            <w:tcW w:w="8870" w:type="dxa"/>
            <w:gridSpan w:val="4"/>
            <w:vAlign w:val="center"/>
          </w:tcPr>
          <w:p>
            <w:pPr>
              <w:adjustRightInd w:val="0"/>
              <w:snapToGrid w:val="0"/>
              <w:ind w:firstLine="0" w:firstLineChars="0"/>
              <w:rPr>
                <w:b/>
                <w:bCs/>
                <w:color w:val="auto"/>
              </w:rPr>
            </w:pPr>
            <w:r>
              <w:rPr>
                <w:rFonts w:hint="eastAsia"/>
                <w:b/>
                <w:bCs/>
                <w:color w:val="auto"/>
              </w:rPr>
              <w:t>1</w:t>
            </w:r>
            <w:bookmarkStart w:id="0" w:name="_Toc21012"/>
            <w:r>
              <w:rPr>
                <w:b/>
                <w:bCs/>
                <w:color w:val="auto"/>
              </w:rPr>
              <w:t>产业政策的符合性分析</w:t>
            </w:r>
          </w:p>
          <w:p>
            <w:pPr>
              <w:adjustRightInd w:val="0"/>
              <w:snapToGrid w:val="0"/>
              <w:ind w:firstLine="480"/>
              <w:rPr>
                <w:color w:val="auto"/>
              </w:rPr>
            </w:pPr>
            <w:r>
              <w:rPr>
                <w:color w:val="auto"/>
              </w:rPr>
              <w:t>本次项目为生产沥青混凝土</w:t>
            </w:r>
            <w:r>
              <w:rPr>
                <w:rFonts w:hint="eastAsia"/>
                <w:color w:val="auto"/>
              </w:rPr>
              <w:t>路面及商品混凝土</w:t>
            </w:r>
            <w:r>
              <w:rPr>
                <w:color w:val="auto"/>
              </w:rPr>
              <w:t>，根据《产业结构调整指导目录》(2024年本)，</w:t>
            </w:r>
            <w:r>
              <w:rPr>
                <w:rFonts w:hint="eastAsia"/>
                <w:color w:val="auto"/>
              </w:rPr>
              <w:t>本项目不属于鼓励类、限制类和淘汰类，为允许类项目，项目已经取得同德县发展和改革局出具的备案通知书，符合国家产业政策。</w:t>
            </w:r>
          </w:p>
          <w:p>
            <w:pPr>
              <w:ind w:firstLine="0" w:firstLineChars="0"/>
              <w:rPr>
                <w:b/>
                <w:bCs/>
                <w:color w:val="auto"/>
              </w:rPr>
            </w:pPr>
            <w:r>
              <w:rPr>
                <w:rFonts w:hint="eastAsia"/>
                <w:b/>
                <w:bCs/>
                <w:color w:val="auto"/>
              </w:rPr>
              <w:t>2与海南州“三线一单”生态环境分区管控</w:t>
            </w:r>
            <w:r>
              <w:rPr>
                <w:b/>
                <w:bCs/>
                <w:color w:val="auto"/>
              </w:rPr>
              <w:t>符合性分析</w:t>
            </w:r>
            <w:bookmarkEnd w:id="0"/>
          </w:p>
          <w:p>
            <w:pPr>
              <w:ind w:firstLine="480"/>
              <w:rPr>
                <w:rFonts w:hint="eastAsia" w:ascii="宋体" w:hAnsi="宋体" w:cs="宋体"/>
                <w:bCs/>
                <w:color w:val="auto"/>
              </w:rPr>
            </w:pPr>
            <w:r>
              <w:rPr>
                <w:color w:val="auto"/>
              </w:rPr>
              <w:t>根据《海南州2023年生态环境分区管控要求及准入清单》（2024.04），以及通过《青海“三线一单”公众应用平台》查询可知，本项目位于</w:t>
            </w:r>
            <w:r>
              <w:rPr>
                <w:rFonts w:hint="eastAsia" w:ascii="宋体" w:hAnsi="宋体" w:cs="宋体"/>
                <w:color w:val="auto"/>
              </w:rPr>
              <w:t>海南藏族自治州同德县尕巴松多镇，属于同德县</w:t>
            </w:r>
            <w:r>
              <w:rPr>
                <w:rFonts w:hint="eastAsia" w:ascii="宋体" w:hAnsi="宋体" w:cs="宋体"/>
                <w:b/>
                <w:bCs/>
                <w:color w:val="auto"/>
              </w:rPr>
              <w:t>环境管控单元中的重点管控单元，环境管控单元编码ZH63252220001，其名称为同德县城镇空间分区编码：</w:t>
            </w:r>
          </w:p>
          <w:p>
            <w:pPr>
              <w:ind w:firstLine="480"/>
              <w:jc w:val="left"/>
              <w:rPr>
                <w:color w:val="auto"/>
              </w:rPr>
            </w:pPr>
            <w:r>
              <w:rPr>
                <w:rFonts w:hint="eastAsia"/>
                <w:color w:val="auto"/>
              </w:rPr>
              <w:t>项目与“三线一单”生态环境分区管控的符合性分析详见表1-2。</w:t>
            </w:r>
          </w:p>
          <w:p>
            <w:pPr>
              <w:pStyle w:val="55"/>
              <w:widowControl/>
              <w:rPr>
                <w:color w:val="auto"/>
              </w:rPr>
            </w:pPr>
            <w:r>
              <w:rPr>
                <w:color w:val="auto"/>
              </w:rPr>
              <w:drawing>
                <wp:inline distT="0" distB="0" distL="114300" distR="114300">
                  <wp:extent cx="5493385" cy="3934460"/>
                  <wp:effectExtent l="0" t="0" r="12065" b="889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7"/>
                          <a:stretch>
                            <a:fillRect/>
                          </a:stretch>
                        </pic:blipFill>
                        <pic:spPr>
                          <a:xfrm>
                            <a:off x="0" y="0"/>
                            <a:ext cx="5493385" cy="3934460"/>
                          </a:xfrm>
                          <a:prstGeom prst="rect">
                            <a:avLst/>
                          </a:prstGeom>
                          <a:noFill/>
                          <a:ln>
                            <a:noFill/>
                          </a:ln>
                        </pic:spPr>
                      </pic:pic>
                    </a:graphicData>
                  </a:graphic>
                </wp:inline>
              </w:drawing>
            </w:r>
          </w:p>
          <w:p>
            <w:pPr>
              <w:pStyle w:val="55"/>
              <w:widowControl/>
              <w:rPr>
                <w:color w:val="auto"/>
              </w:rPr>
            </w:pPr>
          </w:p>
          <w:p>
            <w:pPr>
              <w:ind w:firstLine="480"/>
              <w:rPr>
                <w:color w:val="auto"/>
              </w:rPr>
            </w:pPr>
          </w:p>
          <w:p>
            <w:pPr>
              <w:ind w:firstLine="480"/>
              <w:rPr>
                <w:color w:val="auto"/>
              </w:rPr>
            </w:pPr>
          </w:p>
          <w:p>
            <w:pPr>
              <w:ind w:firstLine="480"/>
              <w:rPr>
                <w:color w:val="auto"/>
              </w:rPr>
            </w:pPr>
          </w:p>
          <w:p>
            <w:pPr>
              <w:pStyle w:val="55"/>
              <w:widowControl/>
              <w:rPr>
                <w:color w:val="auto"/>
              </w:rPr>
            </w:pPr>
            <w:r>
              <w:rPr>
                <w:rFonts w:hint="eastAsia"/>
                <w:color w:val="auto"/>
              </w:rPr>
              <w:t>表1-2本项目与“三线一单”生态环境分区管控符合性分析</w:t>
            </w:r>
          </w:p>
          <w:tbl>
            <w:tblPr>
              <w:tblStyle w:val="31"/>
              <w:tblW w:w="4998" w:type="pct"/>
              <w:jc w:val="center"/>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0" w:type="dxa"/>
                <w:bottom w:w="0" w:type="dxa"/>
                <w:right w:w="0" w:type="dxa"/>
              </w:tblCellMar>
            </w:tblPr>
            <w:tblGrid>
              <w:gridCol w:w="716"/>
              <w:gridCol w:w="4619"/>
              <w:gridCol w:w="2632"/>
              <w:gridCol w:w="674"/>
            </w:tblGrid>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42" w:hRule="atLeast"/>
                <w:jc w:val="center"/>
              </w:trPr>
              <w:tc>
                <w:tcPr>
                  <w:tcW w:w="414" w:type="pct"/>
                  <w:tcBorders>
                    <w:tl2br w:val="nil"/>
                    <w:tr2bl w:val="nil"/>
                  </w:tcBorders>
                  <w:vAlign w:val="center"/>
                </w:tcPr>
                <w:p>
                  <w:pPr>
                    <w:pStyle w:val="54"/>
                    <w:widowControl/>
                    <w:spacing w:line="360" w:lineRule="auto"/>
                    <w:rPr>
                      <w:color w:val="auto"/>
                    </w:rPr>
                  </w:pPr>
                  <w:r>
                    <w:rPr>
                      <w:rFonts w:hint="eastAsia"/>
                      <w:color w:val="auto"/>
                    </w:rPr>
                    <w:t>内容</w:t>
                  </w:r>
                </w:p>
              </w:tc>
              <w:tc>
                <w:tcPr>
                  <w:tcW w:w="2672" w:type="pct"/>
                  <w:tcBorders>
                    <w:tl2br w:val="nil"/>
                    <w:tr2bl w:val="nil"/>
                  </w:tcBorders>
                  <w:vAlign w:val="center"/>
                </w:tcPr>
                <w:p>
                  <w:pPr>
                    <w:pStyle w:val="54"/>
                    <w:widowControl/>
                    <w:spacing w:line="360" w:lineRule="auto"/>
                    <w:rPr>
                      <w:color w:val="auto"/>
                    </w:rPr>
                  </w:pPr>
                  <w:r>
                    <w:rPr>
                      <w:rFonts w:hint="eastAsia"/>
                      <w:color w:val="auto"/>
                    </w:rPr>
                    <w:t>“三线一单”生态环境分区管控要求</w:t>
                  </w:r>
                </w:p>
              </w:tc>
              <w:tc>
                <w:tcPr>
                  <w:tcW w:w="1522" w:type="pct"/>
                  <w:tcBorders>
                    <w:tl2br w:val="nil"/>
                    <w:tr2bl w:val="nil"/>
                  </w:tcBorders>
                  <w:vAlign w:val="center"/>
                </w:tcPr>
                <w:p>
                  <w:pPr>
                    <w:pStyle w:val="54"/>
                    <w:widowControl/>
                    <w:spacing w:line="360" w:lineRule="auto"/>
                    <w:rPr>
                      <w:color w:val="auto"/>
                    </w:rPr>
                  </w:pPr>
                  <w:r>
                    <w:rPr>
                      <w:rFonts w:hint="eastAsia"/>
                      <w:color w:val="auto"/>
                    </w:rPr>
                    <w:t>本项目</w:t>
                  </w:r>
                </w:p>
              </w:tc>
              <w:tc>
                <w:tcPr>
                  <w:tcW w:w="390" w:type="pct"/>
                  <w:tcBorders>
                    <w:tl2br w:val="nil"/>
                    <w:tr2bl w:val="nil"/>
                  </w:tcBorders>
                  <w:vAlign w:val="center"/>
                </w:tcPr>
                <w:p>
                  <w:pPr>
                    <w:pStyle w:val="54"/>
                    <w:widowControl/>
                    <w:spacing w:line="360" w:lineRule="auto"/>
                    <w:rPr>
                      <w:color w:val="auto"/>
                    </w:rPr>
                  </w:pPr>
                  <w:r>
                    <w:rPr>
                      <w:rFonts w:hint="eastAsia"/>
                      <w:color w:val="auto"/>
                    </w:rPr>
                    <w:t>符合性</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975" w:hRule="atLeast"/>
                <w:jc w:val="center"/>
              </w:trPr>
              <w:tc>
                <w:tcPr>
                  <w:tcW w:w="414" w:type="pct"/>
                  <w:tcBorders>
                    <w:tl2br w:val="nil"/>
                    <w:tr2bl w:val="nil"/>
                  </w:tcBorders>
                  <w:vAlign w:val="center"/>
                </w:tcPr>
                <w:p>
                  <w:pPr>
                    <w:pStyle w:val="54"/>
                    <w:widowControl/>
                    <w:spacing w:line="360" w:lineRule="auto"/>
                    <w:rPr>
                      <w:color w:val="auto"/>
                    </w:rPr>
                  </w:pPr>
                  <w:r>
                    <w:rPr>
                      <w:rFonts w:hint="eastAsia"/>
                      <w:color w:val="auto"/>
                    </w:rPr>
                    <w:t>区域空间布局约束</w:t>
                  </w:r>
                </w:p>
              </w:tc>
              <w:tc>
                <w:tcPr>
                  <w:tcW w:w="2672" w:type="pct"/>
                  <w:tcBorders>
                    <w:tl2br w:val="nil"/>
                    <w:tr2bl w:val="nil"/>
                  </w:tcBorders>
                  <w:vAlign w:val="center"/>
                </w:tcPr>
                <w:p>
                  <w:pPr>
                    <w:pStyle w:val="54"/>
                    <w:widowControl/>
                    <w:spacing w:line="360" w:lineRule="auto"/>
                    <w:jc w:val="left"/>
                    <w:rPr>
                      <w:color w:val="auto"/>
                    </w:rPr>
                  </w:pPr>
                  <w:r>
                    <w:rPr>
                      <w:rFonts w:hint="eastAsia"/>
                      <w:color w:val="auto"/>
                    </w:rPr>
                    <w:t>1.区域内禁止新建砂金开采项目、钨矿开采项目、以野外资源为原料的珍贵濒危野生动植物加工等项目。</w:t>
                  </w:r>
                </w:p>
                <w:p>
                  <w:pPr>
                    <w:pStyle w:val="54"/>
                    <w:widowControl/>
                    <w:spacing w:line="360" w:lineRule="auto"/>
                    <w:jc w:val="left"/>
                    <w:rPr>
                      <w:color w:val="auto"/>
                    </w:rPr>
                  </w:pPr>
                  <w:r>
                    <w:rPr>
                      <w:rFonts w:hint="eastAsia"/>
                      <w:color w:val="auto"/>
                    </w:rPr>
                    <w:t>2按照《中华人民共和国畜牧法》《畜禽规模养殖污染防治条例》《畜禽养殖禁养区划定技术指南》《同德县畜禽养殖禁养区划定调整方案》等法律法规政策，禁止在城镇居民区、文化教育科学研究区等人口集中区域及法律法规规定的其他禁养区域内建设畜禽养殖场、养殖小区。</w:t>
                  </w:r>
                </w:p>
                <w:p>
                  <w:pPr>
                    <w:pStyle w:val="54"/>
                    <w:widowControl/>
                    <w:spacing w:line="360" w:lineRule="auto"/>
                    <w:rPr>
                      <w:color w:val="auto"/>
                    </w:rPr>
                  </w:pPr>
                  <w:r>
                    <w:rPr>
                      <w:rFonts w:hint="eastAsia"/>
                      <w:color w:val="auto"/>
                    </w:rPr>
                    <w:t>3新建企业须在尕巴松多产业园或同德县扶贫产业园布局，现有具备条件的企业尽快入园；不具备入园条件的企业须配套建设符合国家相关标准要</w:t>
                  </w:r>
                </w:p>
                <w:p>
                  <w:pPr>
                    <w:pStyle w:val="54"/>
                    <w:widowControl/>
                    <w:spacing w:line="360" w:lineRule="auto"/>
                    <w:jc w:val="left"/>
                    <w:rPr>
                      <w:color w:val="auto"/>
                    </w:rPr>
                  </w:pPr>
                  <w:r>
                    <w:rPr>
                      <w:rFonts w:hint="eastAsia"/>
                      <w:color w:val="auto"/>
                    </w:rPr>
                    <w:t>求的环保设施。</w:t>
                  </w:r>
                </w:p>
                <w:p>
                  <w:pPr>
                    <w:pStyle w:val="54"/>
                    <w:widowControl/>
                    <w:spacing w:line="360" w:lineRule="auto"/>
                    <w:jc w:val="left"/>
                    <w:rPr>
                      <w:color w:val="auto"/>
                    </w:rPr>
                  </w:pPr>
                  <w:r>
                    <w:rPr>
                      <w:rFonts w:hint="eastAsia"/>
                      <w:color w:val="auto"/>
                    </w:rPr>
                    <w:t>4.禁止在居布日隆曲巴曲河等黄河一级支流河道内开采土砂石，其他区域开采规模以满足城乡基本建设需求为限。</w:t>
                  </w:r>
                </w:p>
                <w:p>
                  <w:pPr>
                    <w:pStyle w:val="54"/>
                    <w:widowControl/>
                    <w:spacing w:line="360" w:lineRule="auto"/>
                    <w:jc w:val="left"/>
                    <w:rPr>
                      <w:color w:val="auto"/>
                    </w:rPr>
                  </w:pPr>
                  <w:r>
                    <w:rPr>
                      <w:rFonts w:hint="eastAsia"/>
                      <w:color w:val="auto"/>
                    </w:rPr>
                    <w:t>5禁止新建实心粘土砖项目，现有企业禁止在基本草原、基本农田取土，生产规模仅限满足城乡建设基本需求。</w:t>
                  </w:r>
                </w:p>
                <w:p>
                  <w:pPr>
                    <w:pStyle w:val="54"/>
                    <w:widowControl/>
                    <w:numPr>
                      <w:ilvl w:val="0"/>
                      <w:numId w:val="3"/>
                    </w:numPr>
                    <w:spacing w:line="360" w:lineRule="auto"/>
                    <w:jc w:val="left"/>
                    <w:rPr>
                      <w:color w:val="auto"/>
                    </w:rPr>
                  </w:pPr>
                  <w:r>
                    <w:rPr>
                      <w:rFonts w:hint="eastAsia"/>
                      <w:color w:val="auto"/>
                    </w:rPr>
                    <w:t>执行海南州生态环境管控要求中第二十三条关于三江源地区空间布局约束的准入要求：禁止违法占用，破坏湿地资源。严格管控流经城镇(乡)河段岸线，全面禁止河湖周边采矿、采砂、渔猎等活动。加强三江源地区的生态保护修复工作，对依法设立的国家公园进行系统保护和分区分类管理，科学采取禁牧封育等措施，加大退化草原、退化湿地、沙化土地治理和水土流失防治的力度，综合整治重度退化土地;严格禁止破坏生态功能或者不符合差别化管控要求的各类资源开发利用活动。禁止在青藏高原水土流失严重、生态脆弱的区域开展可能造成水土流失的生产建设活动。强化三江源草原草甸湿地生态屏障红线刚性约束，按禁止开发区域的要求进行管理，严禁不符合主体功能定位的各类开发活动，严禁任意改变用途，确保生态功能不降低、面积不减少、性质不改变。在三江源生态保护建设一、二期工程未覆盖地区,进一步加强对区域内可可西里湖库赛湖、霍通诺尔湖、叶鲁苏湖等重要湖泊，隆宝滩、依然措、多尔改措、库赛湖卓乃湖国家级重要湿地,及德曲源、巴塘河等国家湿地公园保护,加大格拉丹东山峰、玉珠峰为主的雪峰冰川保护力度，在大型雪山群、冰川、重要湿地和湖泊附近设置警示牌、围栏防护和巡查站点，严控人为扰动。在此基础上严格实行草畜平衡政策，使人畜与自然环境承载力相协调，实行季节性休牧和轮牧，促进生态系统自然恢复，坚持以生物措施与工程措施相结合，推进生态系统自然修复。</w:t>
                  </w:r>
                </w:p>
              </w:tc>
              <w:tc>
                <w:tcPr>
                  <w:tcW w:w="1522" w:type="pct"/>
                  <w:tcBorders>
                    <w:tl2br w:val="nil"/>
                    <w:tr2bl w:val="nil"/>
                  </w:tcBorders>
                  <w:vAlign w:val="center"/>
                </w:tcPr>
                <w:p>
                  <w:pPr>
                    <w:pStyle w:val="54"/>
                    <w:widowControl/>
                    <w:spacing w:line="360" w:lineRule="auto"/>
                    <w:rPr>
                      <w:color w:val="auto"/>
                    </w:rPr>
                  </w:pPr>
                  <w:r>
                    <w:rPr>
                      <w:rFonts w:hint="eastAsia"/>
                      <w:color w:val="auto"/>
                    </w:rPr>
                    <w:t>本项目为新型建材项目，建设用地的工业用地，且项目位于工业园区之中，不属于空间布局约束中禁止类项目。</w:t>
                  </w:r>
                </w:p>
                <w:p>
                  <w:pPr>
                    <w:pStyle w:val="54"/>
                    <w:widowControl/>
                    <w:spacing w:line="360" w:lineRule="auto"/>
                    <w:rPr>
                      <w:color w:val="auto"/>
                    </w:rPr>
                  </w:pPr>
                </w:p>
              </w:tc>
              <w:tc>
                <w:tcPr>
                  <w:tcW w:w="390" w:type="pct"/>
                  <w:tcBorders>
                    <w:tl2br w:val="nil"/>
                    <w:tr2bl w:val="nil"/>
                  </w:tcBorders>
                  <w:vAlign w:val="center"/>
                </w:tcPr>
                <w:p>
                  <w:pPr>
                    <w:pStyle w:val="54"/>
                    <w:widowControl/>
                    <w:spacing w:line="360" w:lineRule="auto"/>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652" w:hRule="atLeast"/>
                <w:jc w:val="center"/>
              </w:trPr>
              <w:tc>
                <w:tcPr>
                  <w:tcW w:w="414" w:type="pct"/>
                  <w:tcBorders>
                    <w:tl2br w:val="nil"/>
                    <w:tr2bl w:val="nil"/>
                  </w:tcBorders>
                  <w:vAlign w:val="center"/>
                </w:tcPr>
                <w:p>
                  <w:pPr>
                    <w:pStyle w:val="54"/>
                    <w:widowControl/>
                    <w:spacing w:line="360" w:lineRule="auto"/>
                    <w:rPr>
                      <w:color w:val="auto"/>
                    </w:rPr>
                  </w:pPr>
                  <w:r>
                    <w:rPr>
                      <w:rFonts w:hint="eastAsia"/>
                      <w:color w:val="auto"/>
                    </w:rPr>
                    <w:t>污染物排放管控</w:t>
                  </w:r>
                </w:p>
              </w:tc>
              <w:tc>
                <w:tcPr>
                  <w:tcW w:w="2672" w:type="pct"/>
                  <w:tcBorders>
                    <w:tl2br w:val="nil"/>
                    <w:tr2bl w:val="nil"/>
                  </w:tcBorders>
                  <w:vAlign w:val="center"/>
                </w:tcPr>
                <w:p>
                  <w:pPr>
                    <w:pStyle w:val="54"/>
                    <w:widowControl/>
                    <w:spacing w:line="360" w:lineRule="auto"/>
                    <w:jc w:val="both"/>
                    <w:rPr>
                      <w:color w:val="auto"/>
                    </w:rPr>
                  </w:pPr>
                  <w:r>
                    <w:rPr>
                      <w:rFonts w:hint="eastAsia"/>
                      <w:color w:val="auto"/>
                    </w:rPr>
                    <w:t>1.执行海南州生态环境管控要求中第四条关于污染物排放管控的准入要求：相比于2020年末，2025年末海南州能耗强度降低0.5%左右，化学需氧量、氨気、気氧化物、挥发性有机物重点工程减排量分别达到0.018万吨、0.0025万吨、0.001万吨、0.0085万吨.到2025年，海南州重点行业重点重金属污染</w:t>
                  </w:r>
                </w:p>
                <w:p>
                  <w:pPr>
                    <w:pStyle w:val="54"/>
                    <w:widowControl/>
                    <w:spacing w:line="360" w:lineRule="auto"/>
                    <w:jc w:val="both"/>
                    <w:rPr>
                      <w:color w:val="auto"/>
                    </w:rPr>
                  </w:pPr>
                  <w:r>
                    <w:rPr>
                      <w:rFonts w:hint="eastAsia"/>
                      <w:color w:val="auto"/>
                    </w:rPr>
                    <w:t>物排放量比2020年降低1.5%。</w:t>
                  </w:r>
                </w:p>
                <w:p>
                  <w:pPr>
                    <w:pStyle w:val="54"/>
                    <w:widowControl/>
                    <w:spacing w:line="360" w:lineRule="auto"/>
                    <w:jc w:val="both"/>
                    <w:rPr>
                      <w:color w:val="auto"/>
                    </w:rPr>
                  </w:pPr>
                  <w:r>
                    <w:rPr>
                      <w:rFonts w:hint="eastAsia"/>
                      <w:color w:val="auto"/>
                    </w:rPr>
                    <w:t>2.执行海南州生态环境管控要求中要求第二十四条关于三江源地区空间布局约束的准入要求：</w:t>
                  </w:r>
                  <w:r>
                    <w:rPr>
                      <w:bCs/>
                      <w:color w:val="auto"/>
                    </w:rPr>
                    <w:t>在三江源地区新建涉水项目，其水污染排放应达到行业或污水综合排放的一级标准。有序推进历史遗留矿山污染排查整治，实施矿井涌水、废渣风险管控与治理工程，坚持“一矿一策”，形成一批治理技术模式。</w:t>
                  </w:r>
                </w:p>
              </w:tc>
              <w:tc>
                <w:tcPr>
                  <w:tcW w:w="1522" w:type="pct"/>
                  <w:tcBorders>
                    <w:tl2br w:val="nil"/>
                    <w:tr2bl w:val="nil"/>
                  </w:tcBorders>
                  <w:vAlign w:val="center"/>
                </w:tcPr>
                <w:p>
                  <w:pPr>
                    <w:pStyle w:val="54"/>
                    <w:widowControl/>
                    <w:spacing w:line="360" w:lineRule="auto"/>
                    <w:rPr>
                      <w:color w:val="auto"/>
                    </w:rPr>
                  </w:pPr>
                  <w:r>
                    <w:rPr>
                      <w:rFonts w:hint="eastAsia"/>
                      <w:color w:val="auto"/>
                    </w:rPr>
                    <w:t>项目生活污水经过化粪池处理后排入市政污水管网，污水排入城镇下水道水质标准》（GB/T31962-2015）中的B级标准，无特别排放限值；</w:t>
                  </w:r>
                  <w:r>
                    <w:rPr>
                      <w:rFonts w:hint="eastAsia" w:ascii="宋体" w:hAnsi="宋体" w:cs="宋体"/>
                      <w:color w:val="auto"/>
                    </w:rPr>
                    <w:t>项目燃油锅炉烟气排放执行《锅炉大气污染物排放标准》（GB13271-2014）。沥青烟气和骨料烘干废气经过处理后由同一排气筒排放，排放满足</w:t>
                  </w:r>
                  <w:r>
                    <w:rPr>
                      <w:rFonts w:hint="eastAsia"/>
                      <w:color w:val="auto"/>
                    </w:rPr>
                    <w:t>《大气污染物综合排放标准》（GB16297—1996）中表2新污染源大气污染物排放限值；商品混凝土生产产生的粉尘执行《水泥工业大气污染物排放标准》（GB4915-2013）表3大气污染物无组织排放限值。</w:t>
                  </w:r>
                </w:p>
              </w:tc>
              <w:tc>
                <w:tcPr>
                  <w:tcW w:w="390" w:type="pct"/>
                  <w:tcBorders>
                    <w:tl2br w:val="nil"/>
                    <w:tr2bl w:val="nil"/>
                  </w:tcBorders>
                  <w:vAlign w:val="center"/>
                </w:tcPr>
                <w:p>
                  <w:pPr>
                    <w:pStyle w:val="54"/>
                    <w:widowControl/>
                    <w:spacing w:line="360" w:lineRule="auto"/>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778" w:hRule="atLeast"/>
                <w:jc w:val="center"/>
              </w:trPr>
              <w:tc>
                <w:tcPr>
                  <w:tcW w:w="414" w:type="pct"/>
                  <w:tcBorders>
                    <w:tl2br w:val="nil"/>
                    <w:tr2bl w:val="nil"/>
                  </w:tcBorders>
                  <w:vAlign w:val="center"/>
                </w:tcPr>
                <w:p>
                  <w:pPr>
                    <w:pStyle w:val="54"/>
                    <w:widowControl/>
                    <w:spacing w:line="360" w:lineRule="auto"/>
                    <w:rPr>
                      <w:color w:val="auto"/>
                    </w:rPr>
                  </w:pPr>
                  <w:r>
                    <w:rPr>
                      <w:rFonts w:hint="eastAsia"/>
                      <w:color w:val="auto"/>
                    </w:rPr>
                    <w:t>环境风险防控</w:t>
                  </w:r>
                </w:p>
              </w:tc>
              <w:tc>
                <w:tcPr>
                  <w:tcW w:w="2672" w:type="pct"/>
                  <w:tcBorders>
                    <w:tl2br w:val="nil"/>
                    <w:tr2bl w:val="nil"/>
                  </w:tcBorders>
                  <w:vAlign w:val="center"/>
                </w:tcPr>
                <w:p>
                  <w:pPr>
                    <w:pStyle w:val="54"/>
                    <w:widowControl/>
                    <w:spacing w:line="360" w:lineRule="auto"/>
                    <w:jc w:val="left"/>
                    <w:rPr>
                      <w:color w:val="auto"/>
                    </w:rPr>
                  </w:pPr>
                  <w:r>
                    <w:rPr>
                      <w:rFonts w:hint="eastAsia"/>
                      <w:color w:val="auto"/>
                    </w:rPr>
                    <w:t>生产、存储危险化学品及产生大量废水的企事业单位，应当采取措施，防止在处理安全生产事故过程中产生的可能严重污染水体的生产废水、消防废水、废液直接排入水体。</w:t>
                  </w:r>
                </w:p>
              </w:tc>
              <w:tc>
                <w:tcPr>
                  <w:tcW w:w="1522" w:type="pct"/>
                  <w:tcBorders>
                    <w:tl2br w:val="nil"/>
                    <w:tr2bl w:val="nil"/>
                  </w:tcBorders>
                  <w:vAlign w:val="center"/>
                </w:tcPr>
                <w:p>
                  <w:pPr>
                    <w:pStyle w:val="54"/>
                    <w:widowControl/>
                    <w:spacing w:line="360" w:lineRule="auto"/>
                    <w:rPr>
                      <w:color w:val="auto"/>
                    </w:rPr>
                  </w:pPr>
                  <w:r>
                    <w:rPr>
                      <w:rFonts w:hint="eastAsia"/>
                      <w:color w:val="auto"/>
                    </w:rPr>
                    <w:t>本项目为新型建材项目，</w:t>
                  </w:r>
                  <w:r>
                    <w:rPr>
                      <w:color w:val="auto"/>
                    </w:rPr>
                    <w:t>在沥青储罐</w:t>
                  </w:r>
                  <w:r>
                    <w:rPr>
                      <w:rFonts w:hint="eastAsia"/>
                      <w:color w:val="auto"/>
                    </w:rPr>
                    <w:t>、导热油炉、柴油、重油</w:t>
                  </w:r>
                  <w:r>
                    <w:rPr>
                      <w:color w:val="auto"/>
                    </w:rPr>
                    <w:t>四周建设围堰，在导热油炉旁设置事故油池，以便导热油</w:t>
                  </w:r>
                  <w:r>
                    <w:rPr>
                      <w:rFonts w:hint="eastAsia"/>
                      <w:color w:val="auto"/>
                    </w:rPr>
                    <w:t>、柴油、重油</w:t>
                  </w:r>
                  <w:r>
                    <w:rPr>
                      <w:color w:val="auto"/>
                    </w:rPr>
                    <w:t>泄漏时将导热油</w:t>
                  </w:r>
                  <w:r>
                    <w:rPr>
                      <w:rFonts w:hint="eastAsia"/>
                      <w:color w:val="auto"/>
                    </w:rPr>
                    <w:t>、柴油、重油</w:t>
                  </w:r>
                  <w:r>
                    <w:rPr>
                      <w:color w:val="auto"/>
                    </w:rPr>
                    <w:t>引流至事故应急池内</w:t>
                  </w:r>
                  <w:r>
                    <w:rPr>
                      <w:rFonts w:hint="eastAsia"/>
                      <w:color w:val="auto"/>
                    </w:rPr>
                    <w:t>，项目区设置消防事故水池防止安全生产事故过程中产生的可能严重污染水体的生产废水、消防废水、废液直接排入水体。</w:t>
                  </w:r>
                </w:p>
              </w:tc>
              <w:tc>
                <w:tcPr>
                  <w:tcW w:w="390" w:type="pct"/>
                  <w:tcBorders>
                    <w:tl2br w:val="nil"/>
                    <w:tr2bl w:val="nil"/>
                  </w:tcBorders>
                  <w:vAlign w:val="center"/>
                </w:tcPr>
                <w:p>
                  <w:pPr>
                    <w:pStyle w:val="54"/>
                    <w:widowControl/>
                    <w:spacing w:line="360" w:lineRule="auto"/>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14" w:type="pct"/>
                  <w:tcBorders>
                    <w:tl2br w:val="nil"/>
                    <w:tr2bl w:val="nil"/>
                  </w:tcBorders>
                  <w:vAlign w:val="center"/>
                </w:tcPr>
                <w:p>
                  <w:pPr>
                    <w:pStyle w:val="54"/>
                    <w:widowControl/>
                    <w:spacing w:line="360" w:lineRule="auto"/>
                    <w:rPr>
                      <w:color w:val="auto"/>
                    </w:rPr>
                  </w:pPr>
                  <w:r>
                    <w:rPr>
                      <w:rFonts w:hint="eastAsia"/>
                      <w:color w:val="auto"/>
                    </w:rPr>
                    <w:t>资源开发效率要求</w:t>
                  </w:r>
                </w:p>
              </w:tc>
              <w:tc>
                <w:tcPr>
                  <w:tcW w:w="2672" w:type="pct"/>
                  <w:tcBorders>
                    <w:tl2br w:val="nil"/>
                    <w:tr2bl w:val="nil"/>
                  </w:tcBorders>
                  <w:vAlign w:val="center"/>
                </w:tcPr>
                <w:p>
                  <w:pPr>
                    <w:pStyle w:val="54"/>
                    <w:widowControl/>
                    <w:spacing w:line="360" w:lineRule="auto"/>
                    <w:jc w:val="left"/>
                    <w:rPr>
                      <w:color w:val="auto"/>
                    </w:rPr>
                  </w:pPr>
                  <w:r>
                    <w:rPr>
                      <w:rFonts w:hint="eastAsia"/>
                      <w:color w:val="auto"/>
                    </w:rPr>
                    <w:t>1新建饮用水制造项目，严控开采深层承压水，矿泉水开发严格实行取水许可和采矿许可。</w:t>
                  </w:r>
                </w:p>
                <w:p>
                  <w:pPr>
                    <w:pStyle w:val="54"/>
                    <w:widowControl/>
                    <w:spacing w:line="360" w:lineRule="auto"/>
                    <w:jc w:val="left"/>
                    <w:rPr>
                      <w:color w:val="auto"/>
                    </w:rPr>
                  </w:pPr>
                  <w:r>
                    <w:rPr>
                      <w:rFonts w:hint="eastAsia"/>
                      <w:color w:val="auto"/>
                    </w:rPr>
                    <w:t>2禁止新建、改扩建小水电项目，有序退出已达到设计使用年限的小水电项目。</w:t>
                  </w:r>
                </w:p>
                <w:p>
                  <w:pPr>
                    <w:pStyle w:val="54"/>
                    <w:widowControl/>
                    <w:spacing w:line="360" w:lineRule="auto"/>
                    <w:jc w:val="left"/>
                    <w:rPr>
                      <w:color w:val="auto"/>
                    </w:rPr>
                  </w:pPr>
                  <w:r>
                    <w:rPr>
                      <w:rFonts w:hint="eastAsia"/>
                      <w:color w:val="auto"/>
                    </w:rPr>
                    <w:t>3. 禁止高水资源消耗产业。</w:t>
                  </w:r>
                </w:p>
              </w:tc>
              <w:tc>
                <w:tcPr>
                  <w:tcW w:w="1522" w:type="pct"/>
                  <w:tcBorders>
                    <w:tl2br w:val="nil"/>
                    <w:tr2bl w:val="nil"/>
                  </w:tcBorders>
                  <w:vAlign w:val="center"/>
                </w:tcPr>
                <w:p>
                  <w:pPr>
                    <w:pStyle w:val="54"/>
                    <w:widowControl/>
                    <w:spacing w:line="360" w:lineRule="auto"/>
                    <w:rPr>
                      <w:color w:val="auto"/>
                    </w:rPr>
                  </w:pPr>
                  <w:r>
                    <w:rPr>
                      <w:rFonts w:hint="eastAsia"/>
                      <w:color w:val="auto"/>
                    </w:rPr>
                    <w:t>项目用水由市政管网接入，不属于高水资源消耗产业，生产过程中产生的清洗废水沉淀后回用，一定程度减小项目用水消耗量。</w:t>
                  </w:r>
                </w:p>
              </w:tc>
              <w:tc>
                <w:tcPr>
                  <w:tcW w:w="390" w:type="pct"/>
                  <w:tcBorders>
                    <w:tl2br w:val="nil"/>
                    <w:tr2bl w:val="nil"/>
                  </w:tcBorders>
                  <w:vAlign w:val="center"/>
                </w:tcPr>
                <w:p>
                  <w:pPr>
                    <w:pStyle w:val="54"/>
                    <w:widowControl/>
                    <w:spacing w:line="360" w:lineRule="auto"/>
                    <w:rPr>
                      <w:color w:val="auto"/>
                    </w:rPr>
                  </w:pPr>
                  <w:r>
                    <w:rPr>
                      <w:rFonts w:hint="eastAsia"/>
                      <w:color w:val="auto"/>
                    </w:rPr>
                    <w:t>符合</w:t>
                  </w:r>
                </w:p>
              </w:tc>
            </w:tr>
          </w:tbl>
          <w:p>
            <w:pPr>
              <w:ind w:firstLine="0" w:firstLineChars="0"/>
              <w:rPr>
                <w:color w:val="auto"/>
              </w:rPr>
            </w:pPr>
          </w:p>
          <w:p>
            <w:pPr>
              <w:ind w:firstLine="480"/>
              <w:rPr>
                <w:rFonts w:hint="eastAsia" w:ascii="宋体" w:hAnsi="宋体" w:cs="宋体"/>
                <w:bCs/>
                <w:color w:val="auto"/>
              </w:rPr>
            </w:pPr>
            <w:r>
              <w:rPr>
                <w:rFonts w:hint="eastAsia" w:ascii="宋体" w:hAnsi="宋体" w:cs="宋体"/>
                <w:bCs/>
                <w:color w:val="auto"/>
              </w:rPr>
              <w:t>综上所述，本项目选址符合所在区域现行生态环境约束性要求，项目的建设符合</w:t>
            </w:r>
            <w:r>
              <w:rPr>
                <w:rFonts w:hint="eastAsia" w:ascii="宋体" w:hAnsi="宋体" w:cs="宋体"/>
                <w:color w:val="auto"/>
              </w:rPr>
              <w:t>《海南州2023年生态环境分区管控要求及准入清单》的</w:t>
            </w:r>
            <w:r>
              <w:rPr>
                <w:rFonts w:hint="eastAsia" w:ascii="宋体" w:hAnsi="宋体" w:cs="宋体"/>
                <w:bCs/>
                <w:color w:val="auto"/>
              </w:rPr>
              <w:t>管理要求。</w:t>
            </w:r>
          </w:p>
          <w:p>
            <w:pPr>
              <w:autoSpaceDE w:val="0"/>
              <w:autoSpaceDN w:val="0"/>
              <w:ind w:firstLine="0" w:firstLineChars="0"/>
              <w:jc w:val="left"/>
              <w:rPr>
                <w:b/>
                <w:bCs/>
                <w:color w:val="auto"/>
                <w:kern w:val="0"/>
              </w:rPr>
            </w:pPr>
            <w:r>
              <w:rPr>
                <w:rFonts w:hint="eastAsia"/>
                <w:b/>
                <w:bCs/>
                <w:color w:val="auto"/>
                <w:kern w:val="0"/>
              </w:rPr>
              <w:t>3</w:t>
            </w:r>
            <w:r>
              <w:rPr>
                <w:b/>
                <w:bCs/>
                <w:color w:val="auto"/>
                <w:kern w:val="0"/>
              </w:rPr>
              <w:t>选址</w:t>
            </w:r>
            <w:r>
              <w:rPr>
                <w:rFonts w:hint="eastAsia"/>
                <w:b/>
                <w:bCs/>
                <w:color w:val="auto"/>
                <w:kern w:val="0"/>
              </w:rPr>
              <w:t>合理性</w:t>
            </w:r>
            <w:r>
              <w:rPr>
                <w:b/>
                <w:bCs/>
                <w:color w:val="auto"/>
                <w:kern w:val="0"/>
              </w:rPr>
              <w:t>分析</w:t>
            </w:r>
          </w:p>
          <w:p>
            <w:pPr>
              <w:ind w:firstLine="480"/>
              <w:rPr>
                <w:color w:val="auto"/>
              </w:rPr>
            </w:pPr>
            <w:r>
              <w:rPr>
                <w:rFonts w:hint="eastAsia"/>
                <w:color w:val="auto"/>
                <w:kern w:val="0"/>
              </w:rPr>
              <w:t>本项目位于海南藏族自治州同德县尕巴松多镇同德县省级扶贫产业园内，</w:t>
            </w:r>
            <w:r>
              <w:rPr>
                <w:color w:val="auto"/>
                <w:kern w:val="0"/>
              </w:rPr>
              <w:t>项目占地为</w:t>
            </w:r>
            <w:r>
              <w:rPr>
                <w:rFonts w:hint="eastAsia"/>
                <w:color w:val="auto"/>
                <w:kern w:val="0"/>
              </w:rPr>
              <w:t>工业</w:t>
            </w:r>
            <w:r>
              <w:rPr>
                <w:color w:val="auto"/>
                <w:kern w:val="0"/>
              </w:rPr>
              <w:t>用地，符合</w:t>
            </w:r>
            <w:r>
              <w:rPr>
                <w:rFonts w:hint="eastAsia"/>
                <w:color w:val="auto"/>
                <w:kern w:val="0"/>
              </w:rPr>
              <w:t>产业园用地规划</w:t>
            </w:r>
            <w:r>
              <w:rPr>
                <w:rFonts w:hint="eastAsia"/>
                <w:color w:val="auto"/>
              </w:rPr>
              <w:t>；</w:t>
            </w:r>
            <w:r>
              <w:rPr>
                <w:color w:val="auto"/>
              </w:rPr>
              <w:t>本项目</w:t>
            </w:r>
            <w:r>
              <w:rPr>
                <w:rFonts w:hint="eastAsia"/>
                <w:color w:val="auto"/>
              </w:rPr>
              <w:t>不在</w:t>
            </w:r>
            <w:r>
              <w:rPr>
                <w:color w:val="auto"/>
              </w:rPr>
              <w:t>自然保护区、风景名胜区、饮用水源保护区、集中式水源保护地、重点保护文物及珍稀动植物资源等敏感点</w:t>
            </w:r>
            <w:r>
              <w:rPr>
                <w:rFonts w:hint="eastAsia"/>
                <w:color w:val="auto"/>
              </w:rPr>
              <w:t>；厂区周边均为产业园内的企业，项目最近的敏感点为东北侧科加村，位于项目常年主导风向（常年主导风向为西北风）的侧风向。根据大气专项的预测结果，</w:t>
            </w:r>
            <w:r>
              <w:rPr>
                <w:color w:val="auto"/>
              </w:rPr>
              <w:t>各污染物下风向最大浓度均小于标准要求，因此，项目正常情况排放的大气污染物对大气环境影响较小。</w:t>
            </w:r>
            <w:r>
              <w:rPr>
                <w:rFonts w:hint="eastAsia"/>
                <w:color w:val="auto"/>
              </w:rPr>
              <w:t>项目产生的沥青烟和苯并芘采取净化效率较高的措施，在达标排放的基础上，进一步减小排放量，减小对项目对周边敏感目标的影响；其他污染物采取环保措施后，可以达标排放，项目建成后对周边环境影响较小，符合环保要求。因此</w:t>
            </w:r>
            <w:r>
              <w:rPr>
                <w:rFonts w:hint="eastAsia"/>
                <w:color w:val="auto"/>
                <w:kern w:val="0"/>
              </w:rPr>
              <w:t>，从满足环境保护目标角度分析，项目选址可行。</w:t>
            </w:r>
          </w:p>
        </w:tc>
      </w:tr>
    </w:tbl>
    <w:p>
      <w:pPr>
        <w:ind w:firstLine="600"/>
        <w:outlineLvl w:val="0"/>
        <w:rPr>
          <w:rFonts w:eastAsia="黑体"/>
          <w:color w:val="auto"/>
          <w:sz w:val="30"/>
        </w:rPr>
        <w:sectPr>
          <w:headerReference r:id="rId7" w:type="first"/>
          <w:footerReference r:id="rId10" w:type="first"/>
          <w:headerReference r:id="rId5" w:type="default"/>
          <w:footerReference r:id="rId8" w:type="default"/>
          <w:headerReference r:id="rId6" w:type="even"/>
          <w:footerReference r:id="rId9" w:type="even"/>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3"/>
        <w:rPr>
          <w:color w:val="auto"/>
        </w:rPr>
      </w:pPr>
      <w:r>
        <w:rPr>
          <w:rFonts w:hint="eastAsia"/>
          <w:color w:val="auto"/>
        </w:rPr>
        <w:t>二、建设项目工程分析</w:t>
      </w:r>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74"/>
        <w:gridCol w:w="85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784" w:type="dxa"/>
            <w:vAlign w:val="center"/>
          </w:tcPr>
          <w:p>
            <w:pPr>
              <w:ind w:firstLine="0" w:firstLineChars="0"/>
              <w:rPr>
                <w:color w:val="auto"/>
              </w:rPr>
            </w:pPr>
            <w:r>
              <w:rPr>
                <w:rFonts w:hint="eastAsia"/>
                <w:color w:val="auto"/>
              </w:rPr>
              <w:t>建设内容</w:t>
            </w:r>
          </w:p>
        </w:tc>
        <w:tc>
          <w:tcPr>
            <w:tcW w:w="8318" w:type="dxa"/>
          </w:tcPr>
          <w:p>
            <w:pPr>
              <w:pStyle w:val="4"/>
              <w:rPr>
                <w:color w:val="auto"/>
              </w:rPr>
            </w:pPr>
            <w:r>
              <w:rPr>
                <w:rFonts w:hint="eastAsia"/>
                <w:color w:val="auto"/>
              </w:rPr>
              <w:t>1项目概况</w:t>
            </w:r>
          </w:p>
          <w:p>
            <w:pPr>
              <w:pStyle w:val="5"/>
              <w:ind w:firstLine="281"/>
              <w:rPr>
                <w:color w:val="auto"/>
              </w:rPr>
            </w:pPr>
            <w:r>
              <w:rPr>
                <w:rFonts w:hint="eastAsia"/>
                <w:color w:val="auto"/>
              </w:rPr>
              <w:t>1.1项目由来</w:t>
            </w:r>
          </w:p>
          <w:p>
            <w:pPr>
              <w:ind w:firstLine="480"/>
              <w:rPr>
                <w:color w:val="auto"/>
              </w:rPr>
            </w:pPr>
            <w:r>
              <w:rPr>
                <w:color w:val="auto"/>
              </w:rPr>
              <w:t>道路交通是现代交通最普遍的一种方式，但道路建设也是一个对资源高度依赖的行业。我国沥青路面占有很大的比重，新建公路基本上全是沥青道路，旧公路非沥青路面也要逐步改为沥青路面。随着我国公路事业的飞速发展，现有公路工程材料特别是高等级道路所需材料存在价格较高、施工程序复杂、技术要求高等问题。道路材料正逐步向强度高、性能优、寿命长和适应大交通量的方向发展。</w:t>
            </w:r>
          </w:p>
          <w:p>
            <w:pPr>
              <w:ind w:firstLine="480"/>
              <w:rPr>
                <w:color w:val="auto"/>
              </w:rPr>
            </w:pPr>
            <w:r>
              <w:rPr>
                <w:color w:val="auto"/>
              </w:rPr>
              <w:t>混凝土是由胶凝材料(如水泥)将集料(如砂、石)胶结成整体的工程复合材料，广泛应用于土木工程。当前，同德县商品混凝土生产企业数量相对有限，整体产能规模正处于稳步扩张阶段。新企业的加入促使产能结构发生变化，预示着未来产能具备进一步增长的潜力，青海省同德县作为西部欠发达地区，混凝土市场规模相对较小，但受益于国家西部大开发战略和乡村振兴政策的推进，基础设施建设需求逐步释放，项目的实施是企业自身发展的需要。</w:t>
            </w:r>
          </w:p>
          <w:p>
            <w:pPr>
              <w:pStyle w:val="5"/>
              <w:ind w:firstLine="281"/>
              <w:rPr>
                <w:color w:val="auto"/>
              </w:rPr>
            </w:pPr>
            <w:r>
              <w:rPr>
                <w:rFonts w:hint="eastAsia"/>
                <w:color w:val="auto"/>
              </w:rPr>
              <w:t>1.2建设规模</w:t>
            </w:r>
          </w:p>
          <w:p>
            <w:pPr>
              <w:pStyle w:val="29"/>
              <w:widowControl/>
              <w:spacing w:beforeAutospacing="0" w:afterAutospacing="0"/>
              <w:ind w:firstLine="480"/>
              <w:rPr>
                <w:color w:val="auto"/>
              </w:rPr>
            </w:pPr>
            <w:r>
              <w:rPr>
                <w:rFonts w:hint="eastAsia"/>
                <w:color w:val="auto"/>
              </w:rPr>
              <w:t>本项目</w:t>
            </w:r>
            <w:r>
              <w:rPr>
                <w:color w:val="auto"/>
              </w:rPr>
              <w:t>建设规模及建设内容</w:t>
            </w:r>
            <w:r>
              <w:rPr>
                <w:rFonts w:hint="eastAsia"/>
                <w:color w:val="auto"/>
              </w:rPr>
              <w:t>：</w:t>
            </w:r>
            <w:r>
              <w:rPr>
                <w:color w:val="auto"/>
              </w:rPr>
              <w:t>该项目计划用地 11000.05 平方米（约合 16.5 亩）</w:t>
            </w:r>
            <w:r>
              <w:rPr>
                <w:rFonts w:hint="eastAsia"/>
                <w:color w:val="auto"/>
              </w:rPr>
              <w:t>，项目建成后，将形成年产 10 万方商品混凝土及 3 万吨新型环保沥青路面混凝土的生产能力。</w:t>
            </w:r>
          </w:p>
          <w:p>
            <w:pPr>
              <w:pStyle w:val="5"/>
              <w:ind w:firstLine="281"/>
              <w:rPr>
                <w:color w:val="auto"/>
              </w:rPr>
            </w:pPr>
            <w:r>
              <w:rPr>
                <w:rFonts w:hint="eastAsia"/>
                <w:color w:val="auto"/>
              </w:rPr>
              <w:t>1.3建设内容</w:t>
            </w:r>
          </w:p>
          <w:p>
            <w:pPr>
              <w:ind w:firstLine="480"/>
              <w:rPr>
                <w:color w:val="auto"/>
              </w:rPr>
            </w:pPr>
            <w:r>
              <w:rPr>
                <w:rFonts w:hint="eastAsia"/>
                <w:color w:val="auto"/>
              </w:rPr>
              <w:t>项目规划用地 11000.05 平方米（约合 16.5 亩）。设计总建筑面积 4086平方米；其中：生产车间 3476平方米，仓库用房 200 平方米，综合办公用房 350 平方米、职工生活及其它辅助用房 60 平方米。根据项目的生产需要引进国内外先进的混凝土生产线及其他辅助生产设备和检验设备。项目建成后，将形成年产 10 万方商品混凝土及 3 万吨新型环保沥青路面混凝土的生产能力。项目组成详见表2-1。</w:t>
            </w:r>
          </w:p>
          <w:p>
            <w:pPr>
              <w:ind w:firstLine="480"/>
              <w:rPr>
                <w:color w:val="auto"/>
              </w:rPr>
            </w:pPr>
          </w:p>
          <w:p>
            <w:pPr>
              <w:ind w:firstLine="480"/>
              <w:rPr>
                <w:color w:val="auto"/>
              </w:rPr>
            </w:pPr>
          </w:p>
          <w:p>
            <w:pPr>
              <w:ind w:firstLine="482"/>
              <w:jc w:val="center"/>
              <w:rPr>
                <w:rFonts w:hint="eastAsia" w:ascii="宋体" w:hAnsi="宋体" w:cs="宋体"/>
                <w:b/>
                <w:color w:val="auto"/>
              </w:rPr>
            </w:pPr>
            <w:r>
              <w:rPr>
                <w:rFonts w:hint="eastAsia" w:ascii="宋体" w:hAnsi="宋体" w:cs="宋体"/>
                <w:b/>
                <w:color w:val="auto"/>
              </w:rPr>
              <w:t>表2-1  项目组成一览表</w:t>
            </w:r>
          </w:p>
          <w:tbl>
            <w:tblPr>
              <w:tblStyle w:val="31"/>
              <w:tblW w:w="815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720"/>
              <w:gridCol w:w="506"/>
              <w:gridCol w:w="1325"/>
              <w:gridCol w:w="494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661" w:type="dxa"/>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名称</w:t>
                  </w:r>
                </w:p>
              </w:tc>
              <w:tc>
                <w:tcPr>
                  <w:tcW w:w="1226" w:type="dxa"/>
                  <w:gridSpan w:val="2"/>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指标名称</w:t>
                  </w:r>
                </w:p>
              </w:tc>
              <w:tc>
                <w:tcPr>
                  <w:tcW w:w="6268" w:type="dxa"/>
                  <w:gridSpan w:val="2"/>
                  <w:tcBorders>
                    <w:tl2br w:val="nil"/>
                    <w:tr2bl w:val="nil"/>
                  </w:tcBorders>
                  <w:vAlign w:val="center"/>
                </w:tcPr>
                <w:p>
                  <w:pPr>
                    <w:ind w:firstLine="0" w:firstLineChars="0"/>
                    <w:jc w:val="center"/>
                    <w:rPr>
                      <w:rFonts w:hint="eastAsia" w:ascii="宋体" w:hAnsi="宋体"/>
                      <w:color w:val="auto"/>
                      <w:sz w:val="21"/>
                      <w:szCs w:val="21"/>
                    </w:rPr>
                  </w:pPr>
                  <w:r>
                    <w:rPr>
                      <w:rFonts w:hint="eastAsia" w:ascii="宋体" w:hAnsi="宋体"/>
                      <w:color w:val="auto"/>
                      <w:sz w:val="21"/>
                      <w:szCs w:val="21"/>
                    </w:rPr>
                    <w:t>主要建设内容及规模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4" w:hRule="atLeast"/>
                <w:jc w:val="center"/>
              </w:trPr>
              <w:tc>
                <w:tcPr>
                  <w:tcW w:w="661" w:type="dxa"/>
                  <w:vMerge w:val="restar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主体工程</w:t>
                  </w:r>
                </w:p>
              </w:tc>
              <w:tc>
                <w:tcPr>
                  <w:tcW w:w="1226" w:type="dxa"/>
                  <w:gridSpan w:val="2"/>
                  <w:vMerge w:val="restar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生产线</w:t>
                  </w:r>
                </w:p>
              </w:tc>
              <w:tc>
                <w:tcPr>
                  <w:tcW w:w="6268" w:type="dxa"/>
                  <w:gridSpan w:val="2"/>
                  <w:tcBorders>
                    <w:tl2br w:val="nil"/>
                    <w:tr2bl w:val="nil"/>
                  </w:tcBorders>
                  <w:vAlign w:val="center"/>
                </w:tcPr>
                <w:p>
                  <w:pPr>
                    <w:ind w:firstLine="0" w:firstLineChars="0"/>
                    <w:rPr>
                      <w:color w:val="auto"/>
                      <w:sz w:val="21"/>
                      <w:szCs w:val="21"/>
                    </w:rPr>
                  </w:pPr>
                  <w:r>
                    <w:rPr>
                      <w:color w:val="auto"/>
                      <w:sz w:val="21"/>
                      <w:szCs w:val="21"/>
                    </w:rPr>
                    <w:t>环保沥青生产线1条</w:t>
                  </w:r>
                  <w:r>
                    <w:rPr>
                      <w:rFonts w:hint="eastAsia"/>
                      <w:color w:val="auto"/>
                      <w:sz w:val="21"/>
                      <w:szCs w:val="21"/>
                    </w:rPr>
                    <w:t>，年生产规模3万吨新型环保沥青路面混凝土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0" w:hRule="atLeast"/>
                <w:jc w:val="center"/>
              </w:trPr>
              <w:tc>
                <w:tcPr>
                  <w:tcW w:w="661" w:type="dxa"/>
                  <w:vMerge w:val="continue"/>
                  <w:tcBorders>
                    <w:tl2br w:val="nil"/>
                    <w:tr2bl w:val="nil"/>
                  </w:tcBorders>
                  <w:vAlign w:val="center"/>
                </w:tcPr>
                <w:p>
                  <w:pPr>
                    <w:ind w:firstLine="0" w:firstLineChars="0"/>
                    <w:jc w:val="center"/>
                    <w:rPr>
                      <w:rFonts w:hint="eastAsia" w:ascii="宋体" w:hAnsi="宋体" w:cs="宋体"/>
                      <w:color w:val="auto"/>
                      <w:sz w:val="21"/>
                      <w:szCs w:val="21"/>
                    </w:rPr>
                  </w:pPr>
                </w:p>
              </w:tc>
              <w:tc>
                <w:tcPr>
                  <w:tcW w:w="1226" w:type="dxa"/>
                  <w:gridSpan w:val="2"/>
                  <w:vMerge w:val="continue"/>
                  <w:tcBorders>
                    <w:tl2br w:val="nil"/>
                    <w:tr2bl w:val="nil"/>
                  </w:tcBorders>
                  <w:vAlign w:val="center"/>
                </w:tcPr>
                <w:p>
                  <w:pPr>
                    <w:ind w:firstLine="0" w:firstLineChars="0"/>
                    <w:jc w:val="center"/>
                    <w:rPr>
                      <w:rFonts w:hint="eastAsia" w:ascii="宋体" w:hAnsi="宋体" w:cs="宋体"/>
                      <w:color w:val="auto"/>
                      <w:sz w:val="21"/>
                      <w:szCs w:val="21"/>
                    </w:rPr>
                  </w:pPr>
                </w:p>
              </w:tc>
              <w:tc>
                <w:tcPr>
                  <w:tcW w:w="6268" w:type="dxa"/>
                  <w:gridSpan w:val="2"/>
                  <w:tcBorders>
                    <w:tl2br w:val="nil"/>
                    <w:tr2bl w:val="nil"/>
                  </w:tcBorders>
                  <w:vAlign w:val="center"/>
                </w:tcPr>
                <w:p>
                  <w:pPr>
                    <w:ind w:firstLine="0" w:firstLineChars="0"/>
                    <w:rPr>
                      <w:color w:val="auto"/>
                      <w:sz w:val="21"/>
                      <w:szCs w:val="21"/>
                    </w:rPr>
                  </w:pPr>
                  <w:r>
                    <w:rPr>
                      <w:rFonts w:hint="eastAsia"/>
                      <w:color w:val="auto"/>
                      <w:sz w:val="21"/>
                      <w:szCs w:val="21"/>
                    </w:rPr>
                    <w:t>商品混凝土</w:t>
                  </w:r>
                  <w:r>
                    <w:rPr>
                      <w:color w:val="auto"/>
                      <w:sz w:val="21"/>
                      <w:szCs w:val="21"/>
                    </w:rPr>
                    <w:t>生产线</w:t>
                  </w:r>
                  <w:r>
                    <w:rPr>
                      <w:rFonts w:hint="eastAsia"/>
                      <w:color w:val="auto"/>
                      <w:sz w:val="21"/>
                      <w:szCs w:val="21"/>
                    </w:rPr>
                    <w:t>2</w:t>
                  </w:r>
                  <w:r>
                    <w:rPr>
                      <w:color w:val="auto"/>
                      <w:sz w:val="21"/>
                      <w:szCs w:val="21"/>
                    </w:rPr>
                    <w:t>条</w:t>
                  </w:r>
                  <w:r>
                    <w:rPr>
                      <w:rFonts w:hint="eastAsia"/>
                      <w:color w:val="auto"/>
                      <w:sz w:val="21"/>
                      <w:szCs w:val="21"/>
                    </w:rPr>
                    <w:t>，设置</w:t>
                  </w:r>
                  <w:r>
                    <w:rPr>
                      <w:rFonts w:hint="eastAsia" w:ascii="宋体" w:hAnsi="宋体" w:cs="宋体"/>
                      <w:color w:val="auto"/>
                      <w:kern w:val="0"/>
                      <w:sz w:val="21"/>
                      <w:szCs w:val="21"/>
                    </w:rPr>
                    <w:t>双卧轴强制式搅拌机2台，</w:t>
                  </w:r>
                  <w:r>
                    <w:rPr>
                      <w:rFonts w:hint="eastAsia"/>
                      <w:color w:val="auto"/>
                      <w:sz w:val="21"/>
                      <w:szCs w:val="21"/>
                    </w:rPr>
                    <w:t>生产规模为 10万方商品混凝土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9" w:hRule="atLeast"/>
                <w:jc w:val="center"/>
              </w:trPr>
              <w:tc>
                <w:tcPr>
                  <w:tcW w:w="661" w:type="dxa"/>
                  <w:vMerge w:val="continue"/>
                  <w:tcBorders>
                    <w:tl2br w:val="nil"/>
                    <w:tr2bl w:val="nil"/>
                  </w:tcBorders>
                  <w:vAlign w:val="center"/>
                </w:tcPr>
                <w:p>
                  <w:pPr>
                    <w:ind w:firstLine="0" w:firstLineChars="0"/>
                    <w:jc w:val="center"/>
                    <w:rPr>
                      <w:rFonts w:hint="eastAsia" w:ascii="宋体" w:hAnsi="宋体" w:cs="宋体"/>
                      <w:color w:val="auto"/>
                      <w:sz w:val="21"/>
                      <w:szCs w:val="21"/>
                    </w:rPr>
                  </w:pPr>
                </w:p>
              </w:tc>
              <w:tc>
                <w:tcPr>
                  <w:tcW w:w="1226" w:type="dxa"/>
                  <w:gridSpan w:val="2"/>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生产车间</w:t>
                  </w:r>
                </w:p>
              </w:tc>
              <w:tc>
                <w:tcPr>
                  <w:tcW w:w="6268" w:type="dxa"/>
                  <w:gridSpan w:val="2"/>
                  <w:tcBorders>
                    <w:tl2br w:val="nil"/>
                    <w:tr2bl w:val="nil"/>
                  </w:tcBorders>
                  <w:vAlign w:val="center"/>
                </w:tcPr>
                <w:p>
                  <w:pPr>
                    <w:ind w:firstLine="0" w:firstLineChars="0"/>
                    <w:jc w:val="center"/>
                    <w:rPr>
                      <w:rFonts w:hint="eastAsia" w:ascii="宋体" w:hAnsi="宋体" w:cs="宋体"/>
                      <w:color w:val="auto"/>
                      <w:sz w:val="21"/>
                      <w:szCs w:val="21"/>
                    </w:rPr>
                  </w:pPr>
                  <w:r>
                    <w:rPr>
                      <w:color w:val="auto"/>
                      <w:sz w:val="21"/>
                      <w:szCs w:val="21"/>
                    </w:rPr>
                    <w:t>生产车间</w:t>
                  </w:r>
                  <w:r>
                    <w:rPr>
                      <w:rFonts w:hint="eastAsia"/>
                      <w:color w:val="auto"/>
                      <w:sz w:val="21"/>
                      <w:szCs w:val="21"/>
                    </w:rPr>
                    <w:t>1</w:t>
                  </w:r>
                  <w:r>
                    <w:rPr>
                      <w:color w:val="auto"/>
                      <w:sz w:val="21"/>
                      <w:szCs w:val="21"/>
                    </w:rPr>
                    <w:t>栋，为沥青生产车间，面积为1250m</w:t>
                  </w:r>
                  <w:r>
                    <w:rPr>
                      <w:color w:val="auto"/>
                      <w:sz w:val="21"/>
                      <w:szCs w:val="21"/>
                      <w:vertAlign w:val="superscript"/>
                    </w:rPr>
                    <w:t>2</w:t>
                  </w:r>
                  <w:r>
                    <w:rPr>
                      <w:color w:val="auto"/>
                      <w:sz w:val="21"/>
                      <w:szCs w:val="21"/>
                    </w:rPr>
                    <w:t>，均为单层轻钢结构。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61" w:type="dxa"/>
                  <w:vMerge w:val="continue"/>
                  <w:tcBorders>
                    <w:tl2br w:val="nil"/>
                    <w:tr2bl w:val="nil"/>
                  </w:tcBorders>
                  <w:vAlign w:val="center"/>
                </w:tcPr>
                <w:p>
                  <w:pPr>
                    <w:ind w:firstLine="0" w:firstLineChars="0"/>
                    <w:jc w:val="center"/>
                    <w:rPr>
                      <w:rFonts w:hint="eastAsia" w:ascii="宋体" w:hAnsi="宋体" w:cs="宋体"/>
                      <w:color w:val="auto"/>
                      <w:sz w:val="21"/>
                      <w:szCs w:val="21"/>
                    </w:rPr>
                  </w:pPr>
                </w:p>
              </w:tc>
              <w:tc>
                <w:tcPr>
                  <w:tcW w:w="1226" w:type="dxa"/>
                  <w:gridSpan w:val="2"/>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仓储</w:t>
                  </w:r>
                </w:p>
              </w:tc>
              <w:tc>
                <w:tcPr>
                  <w:tcW w:w="6268" w:type="dxa"/>
                  <w:gridSpan w:val="2"/>
                  <w:tcBorders>
                    <w:tl2br w:val="nil"/>
                    <w:tr2bl w:val="nil"/>
                  </w:tcBorders>
                  <w:vAlign w:val="center"/>
                </w:tcPr>
                <w:p>
                  <w:pPr>
                    <w:ind w:firstLine="0" w:firstLineChars="0"/>
                    <w:rPr>
                      <w:rFonts w:hint="eastAsia" w:ascii="宋体" w:hAnsi="宋体" w:cs="宋体"/>
                      <w:color w:val="auto"/>
                      <w:sz w:val="21"/>
                      <w:szCs w:val="21"/>
                    </w:rPr>
                  </w:pPr>
                  <w:r>
                    <w:rPr>
                      <w:color w:val="auto"/>
                      <w:sz w:val="21"/>
                      <w:szCs w:val="21"/>
                    </w:rPr>
                    <w:t>沥青储罐</w:t>
                  </w:r>
                  <w:r>
                    <w:rPr>
                      <w:rFonts w:hint="eastAsia"/>
                      <w:color w:val="auto"/>
                      <w:sz w:val="21"/>
                      <w:szCs w:val="21"/>
                    </w:rPr>
                    <w:t>3</w:t>
                  </w:r>
                  <w:r>
                    <w:rPr>
                      <w:color w:val="auto"/>
                      <w:sz w:val="21"/>
                      <w:szCs w:val="21"/>
                    </w:rPr>
                    <w:t>个</w:t>
                  </w:r>
                  <w:r>
                    <w:rPr>
                      <w:rFonts w:hint="eastAsia"/>
                      <w:color w:val="auto"/>
                      <w:sz w:val="21"/>
                      <w:szCs w:val="21"/>
                    </w:rPr>
                    <w:t>，</w:t>
                  </w:r>
                  <w:r>
                    <w:rPr>
                      <w:color w:val="auto"/>
                      <w:sz w:val="21"/>
                      <w:szCs w:val="21"/>
                    </w:rPr>
                    <w:t>单个容积为50m</w:t>
                  </w:r>
                  <w:r>
                    <w:rPr>
                      <w:color w:val="auto"/>
                      <w:sz w:val="21"/>
                      <w:szCs w:val="21"/>
                      <w:vertAlign w:val="superscript"/>
                    </w:rPr>
                    <w:t>3</w:t>
                  </w:r>
                  <w:r>
                    <w:rPr>
                      <w:color w:val="auto"/>
                      <w:sz w:val="21"/>
                      <w:szCs w:val="21"/>
                    </w:rPr>
                    <w:t>。</w:t>
                  </w:r>
                  <w:r>
                    <w:rPr>
                      <w:rFonts w:hint="eastAsia"/>
                      <w:color w:val="auto"/>
                      <w:sz w:val="21"/>
                      <w:szCs w:val="21"/>
                    </w:rPr>
                    <w:t>2</w:t>
                  </w:r>
                  <w:r>
                    <w:rPr>
                      <w:color w:val="auto"/>
                      <w:sz w:val="21"/>
                      <w:szCs w:val="21"/>
                    </w:rPr>
                    <w:t>个常用，1个作为备用罐。</w:t>
                  </w:r>
                  <w:r>
                    <w:rPr>
                      <w:rFonts w:hint="eastAsia"/>
                      <w:color w:val="auto"/>
                      <w:sz w:val="21"/>
                      <w:szCs w:val="21"/>
                    </w:rPr>
                    <w:t>粉料罐300吨8个，其中水泥罐4个，粉煤灰罐4个，设置封闭式砂石料场两个，一个位于商品混凝土搅拌区，一个位于沥青路面混凝土生产区，设置柴油罐1个，</w:t>
                  </w:r>
                  <w:r>
                    <w:rPr>
                      <w:color w:val="auto"/>
                      <w:sz w:val="21"/>
                      <w:szCs w:val="21"/>
                    </w:rPr>
                    <w:t>单个容积为50m</w:t>
                  </w:r>
                  <w:r>
                    <w:rPr>
                      <w:color w:val="auto"/>
                      <w:sz w:val="21"/>
                      <w:szCs w:val="21"/>
                      <w:vertAlign w:val="superscript"/>
                    </w:rPr>
                    <w:t>3</w:t>
                  </w:r>
                  <w:r>
                    <w:rPr>
                      <w:rFonts w:hint="eastAsia"/>
                      <w:color w:val="auto"/>
                      <w:sz w:val="21"/>
                      <w:szCs w:val="21"/>
                    </w:rPr>
                    <w:t>，设置重油罐2个，</w:t>
                  </w:r>
                  <w:r>
                    <w:rPr>
                      <w:color w:val="auto"/>
                      <w:sz w:val="21"/>
                      <w:szCs w:val="21"/>
                    </w:rPr>
                    <w:t>单个容积为50m</w:t>
                  </w:r>
                  <w:r>
                    <w:rPr>
                      <w:color w:val="auto"/>
                      <w:sz w:val="21"/>
                      <w:szCs w:val="21"/>
                      <w:vertAlign w:val="superscript"/>
                    </w:rPr>
                    <w:t>3</w:t>
                  </w:r>
                  <w:r>
                    <w:rPr>
                      <w:rFonts w:hint="eastAsia"/>
                      <w:color w:val="auto"/>
                      <w:sz w:val="21"/>
                      <w:szCs w:val="21"/>
                    </w:rPr>
                    <w:t>，柴油罐及重油罐均为双层罐。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7" w:hRule="atLeast"/>
                <w:jc w:val="center"/>
              </w:trPr>
              <w:tc>
                <w:tcPr>
                  <w:tcW w:w="661" w:type="dxa"/>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辅助工程</w:t>
                  </w:r>
                </w:p>
              </w:tc>
              <w:tc>
                <w:tcPr>
                  <w:tcW w:w="1226" w:type="dxa"/>
                  <w:gridSpan w:val="2"/>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业务用房</w:t>
                  </w:r>
                </w:p>
              </w:tc>
              <w:tc>
                <w:tcPr>
                  <w:tcW w:w="6268" w:type="dxa"/>
                  <w:gridSpan w:val="2"/>
                  <w:tcBorders>
                    <w:tl2br w:val="nil"/>
                    <w:tr2bl w:val="nil"/>
                  </w:tcBorders>
                  <w:vAlign w:val="center"/>
                </w:tcPr>
                <w:p>
                  <w:pPr>
                    <w:ind w:firstLine="0" w:firstLineChars="0"/>
                    <w:rPr>
                      <w:rFonts w:hint="eastAsia" w:ascii="宋体" w:hAnsi="宋体" w:cs="宋体"/>
                      <w:color w:val="auto"/>
                      <w:sz w:val="21"/>
                      <w:szCs w:val="21"/>
                    </w:rPr>
                  </w:pPr>
                  <w:r>
                    <w:rPr>
                      <w:color w:val="auto"/>
                      <w:sz w:val="21"/>
                      <w:szCs w:val="21"/>
                    </w:rPr>
                    <w:t>共计为</w:t>
                  </w:r>
                  <w:r>
                    <w:rPr>
                      <w:rFonts w:hint="eastAsia"/>
                      <w:color w:val="auto"/>
                      <w:sz w:val="21"/>
                      <w:szCs w:val="21"/>
                    </w:rPr>
                    <w:t>1</w:t>
                  </w:r>
                  <w:r>
                    <w:rPr>
                      <w:color w:val="auto"/>
                      <w:sz w:val="21"/>
                      <w:szCs w:val="21"/>
                    </w:rPr>
                    <w:t>栋</w:t>
                  </w:r>
                  <w:r>
                    <w:rPr>
                      <w:rFonts w:hint="eastAsia"/>
                      <w:color w:val="auto"/>
                      <w:sz w:val="21"/>
                      <w:szCs w:val="21"/>
                    </w:rPr>
                    <w:t>，占地</w:t>
                  </w:r>
                  <w:r>
                    <w:rPr>
                      <w:color w:val="auto"/>
                      <w:sz w:val="21"/>
                      <w:szCs w:val="21"/>
                    </w:rPr>
                    <w:t>面积为</w:t>
                  </w:r>
                  <w:r>
                    <w:rPr>
                      <w:rFonts w:hint="eastAsia"/>
                      <w:color w:val="auto"/>
                      <w:sz w:val="21"/>
                      <w:szCs w:val="21"/>
                    </w:rPr>
                    <w:t>446.08</w:t>
                  </w:r>
                  <w:r>
                    <w:rPr>
                      <w:color w:val="auto"/>
                      <w:sz w:val="21"/>
                      <w:szCs w:val="21"/>
                    </w:rPr>
                    <w:t>m</w:t>
                  </w:r>
                  <w:r>
                    <w:rPr>
                      <w:color w:val="auto"/>
                      <w:sz w:val="21"/>
                      <w:szCs w:val="21"/>
                      <w:vertAlign w:val="superscript"/>
                    </w:rPr>
                    <w:t>2</w:t>
                  </w:r>
                  <w:r>
                    <w:rPr>
                      <w:rFonts w:hint="eastAsia"/>
                      <w:color w:val="auto"/>
                      <w:sz w:val="21"/>
                      <w:szCs w:val="21"/>
                    </w:rPr>
                    <w:t>，共两层，主要为食堂、宿舍及办公室等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661" w:type="dxa"/>
                  <w:vMerge w:val="restar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公用工程</w:t>
                  </w:r>
                </w:p>
              </w:tc>
              <w:tc>
                <w:tcPr>
                  <w:tcW w:w="1226" w:type="dxa"/>
                  <w:gridSpan w:val="2"/>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给水</w:t>
                  </w:r>
                </w:p>
              </w:tc>
              <w:tc>
                <w:tcPr>
                  <w:tcW w:w="6268" w:type="dxa"/>
                  <w:gridSpan w:val="2"/>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项目用水接自园区供水管网，完全满足项目用水需求。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Merge w:val="continue"/>
                  <w:tcBorders>
                    <w:tl2br w:val="nil"/>
                    <w:tr2bl w:val="nil"/>
                  </w:tcBorders>
                  <w:vAlign w:val="center"/>
                </w:tcPr>
                <w:p>
                  <w:pPr>
                    <w:ind w:firstLine="0" w:firstLineChars="0"/>
                    <w:jc w:val="center"/>
                    <w:rPr>
                      <w:rFonts w:hint="eastAsia" w:ascii="宋体" w:hAnsi="宋体" w:cs="宋体"/>
                      <w:color w:val="auto"/>
                      <w:sz w:val="21"/>
                      <w:szCs w:val="21"/>
                    </w:rPr>
                  </w:pPr>
                </w:p>
              </w:tc>
              <w:tc>
                <w:tcPr>
                  <w:tcW w:w="1226" w:type="dxa"/>
                  <w:gridSpan w:val="2"/>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排水</w:t>
                  </w:r>
                </w:p>
              </w:tc>
              <w:tc>
                <w:tcPr>
                  <w:tcW w:w="6268" w:type="dxa"/>
                  <w:gridSpan w:val="2"/>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本项目无生产性废水产生，只有少量职工生活污水及食堂废水，其食堂废水经隔油器处理后与生活污水一同经化粪池预处理后排入园区污水管网。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Merge w:val="continue"/>
                  <w:tcBorders>
                    <w:tl2br w:val="nil"/>
                    <w:tr2bl w:val="nil"/>
                  </w:tcBorders>
                  <w:vAlign w:val="center"/>
                </w:tcPr>
                <w:p>
                  <w:pPr>
                    <w:ind w:firstLine="0" w:firstLineChars="0"/>
                    <w:jc w:val="center"/>
                    <w:rPr>
                      <w:rFonts w:hint="eastAsia" w:ascii="宋体" w:hAnsi="宋体" w:cs="宋体"/>
                      <w:color w:val="auto"/>
                      <w:sz w:val="21"/>
                      <w:szCs w:val="21"/>
                    </w:rPr>
                  </w:pPr>
                </w:p>
              </w:tc>
              <w:tc>
                <w:tcPr>
                  <w:tcW w:w="1226" w:type="dxa"/>
                  <w:gridSpan w:val="2"/>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供电</w:t>
                  </w:r>
                </w:p>
              </w:tc>
              <w:tc>
                <w:tcPr>
                  <w:tcW w:w="6268" w:type="dxa"/>
                  <w:gridSpan w:val="2"/>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项目用电接自园区供电网，完全满足项目用电需求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Merge w:val="continue"/>
                  <w:tcBorders>
                    <w:tl2br w:val="nil"/>
                    <w:tr2bl w:val="nil"/>
                  </w:tcBorders>
                  <w:vAlign w:val="center"/>
                </w:tcPr>
                <w:p>
                  <w:pPr>
                    <w:ind w:firstLine="0" w:firstLineChars="0"/>
                    <w:jc w:val="center"/>
                    <w:rPr>
                      <w:rFonts w:hint="eastAsia" w:ascii="宋体" w:hAnsi="宋体" w:cs="宋体"/>
                      <w:color w:val="auto"/>
                      <w:sz w:val="21"/>
                      <w:szCs w:val="21"/>
                    </w:rPr>
                  </w:pPr>
                </w:p>
              </w:tc>
              <w:tc>
                <w:tcPr>
                  <w:tcW w:w="1226" w:type="dxa"/>
                  <w:gridSpan w:val="2"/>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供暖</w:t>
                  </w:r>
                </w:p>
              </w:tc>
              <w:tc>
                <w:tcPr>
                  <w:tcW w:w="6268" w:type="dxa"/>
                  <w:gridSpan w:val="2"/>
                  <w:tcBorders>
                    <w:tl2br w:val="nil"/>
                    <w:tr2bl w:val="nil"/>
                  </w:tcBorders>
                  <w:vAlign w:val="center"/>
                </w:tcPr>
                <w:p>
                  <w:pPr>
                    <w:ind w:firstLine="0" w:firstLineChars="0"/>
                    <w:rPr>
                      <w:rFonts w:hint="eastAsia" w:ascii="宋体" w:hAnsi="宋体" w:cs="宋体"/>
                      <w:color w:val="auto"/>
                      <w:sz w:val="21"/>
                      <w:szCs w:val="21"/>
                    </w:rPr>
                  </w:pPr>
                  <w:r>
                    <w:rPr>
                      <w:rFonts w:hint="eastAsia" w:ascii="宋体" w:hAnsi="宋体" w:cs="宋体"/>
                      <w:color w:val="auto"/>
                      <w:sz w:val="21"/>
                      <w:szCs w:val="21"/>
                    </w:rPr>
                    <w:t>本项目生产供热为两处，分别为：骨料烘干工序及沥青加热工序。</w:t>
                  </w:r>
                </w:p>
                <w:p>
                  <w:pPr>
                    <w:ind w:firstLine="0" w:firstLineChars="0"/>
                    <w:rPr>
                      <w:rFonts w:hint="eastAsia" w:ascii="宋体" w:hAnsi="宋体" w:cs="宋体"/>
                      <w:color w:val="auto"/>
                      <w:sz w:val="21"/>
                      <w:szCs w:val="21"/>
                    </w:rPr>
                  </w:pPr>
                  <w:r>
                    <w:rPr>
                      <w:rFonts w:hint="eastAsia" w:ascii="宋体" w:hAnsi="宋体" w:cs="宋体"/>
                      <w:color w:val="auto"/>
                      <w:sz w:val="21"/>
                      <w:szCs w:val="21"/>
                    </w:rPr>
                    <w:t>骨料烘干：使用重油加热，通过过烘干筒间接加热供给热量；</w:t>
                  </w:r>
                </w:p>
                <w:p>
                  <w:pPr>
                    <w:ind w:firstLine="0" w:firstLineChars="0"/>
                    <w:rPr>
                      <w:rFonts w:hint="eastAsia" w:ascii="宋体" w:hAnsi="宋体" w:cs="宋体"/>
                      <w:color w:val="auto"/>
                      <w:sz w:val="21"/>
                      <w:szCs w:val="21"/>
                    </w:rPr>
                  </w:pPr>
                  <w:r>
                    <w:rPr>
                      <w:rFonts w:hint="eastAsia" w:ascii="宋体" w:hAnsi="宋体" w:cs="宋体"/>
                      <w:color w:val="auto"/>
                      <w:sz w:val="21"/>
                      <w:szCs w:val="21"/>
                    </w:rPr>
                    <w:t>沥青加热：</w:t>
                  </w:r>
                  <w:r>
                    <w:rPr>
                      <w:rFonts w:hint="eastAsia" w:ascii="宋体" w:hAnsi="宋体" w:cs="宋体"/>
                      <w:bCs/>
                      <w:color w:val="auto"/>
                      <w:sz w:val="21"/>
                      <w:szCs w:val="21"/>
                    </w:rPr>
                    <w:t>沥青加热选用1台导热油炉，由柴油燃烧加热，</w:t>
                  </w:r>
                  <w:r>
                    <w:rPr>
                      <w:rFonts w:hint="eastAsia" w:ascii="宋体" w:hAnsi="宋体" w:cs="宋体"/>
                      <w:color w:val="auto"/>
                      <w:sz w:val="21"/>
                      <w:szCs w:val="21"/>
                    </w:rPr>
                    <w:t>锅炉布设于生产车间内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Merge w:val="restar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环保工程</w:t>
                  </w:r>
                </w:p>
              </w:tc>
              <w:tc>
                <w:tcPr>
                  <w:tcW w:w="1226" w:type="dxa"/>
                  <w:gridSpan w:val="2"/>
                  <w:vMerge w:val="restar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废水</w:t>
                  </w:r>
                </w:p>
              </w:tc>
              <w:tc>
                <w:tcPr>
                  <w:tcW w:w="6268" w:type="dxa"/>
                  <w:gridSpan w:val="2"/>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本项目无生产性废水产生，只有少量职工生活污水及食堂废水，其食堂产生的废水经隔油器（1个30m</w:t>
                  </w:r>
                  <w:r>
                    <w:rPr>
                      <w:rFonts w:hint="eastAsia" w:ascii="宋体" w:hAnsi="宋体" w:cs="宋体"/>
                      <w:color w:val="auto"/>
                      <w:sz w:val="21"/>
                      <w:szCs w:val="21"/>
                      <w:vertAlign w:val="superscript"/>
                    </w:rPr>
                    <w:t>3</w:t>
                  </w:r>
                  <w:r>
                    <w:rPr>
                      <w:rFonts w:hint="eastAsia" w:ascii="宋体" w:hAnsi="宋体" w:cs="宋体"/>
                      <w:color w:val="auto"/>
                      <w:sz w:val="21"/>
                      <w:szCs w:val="21"/>
                    </w:rPr>
                    <w:t>）处理后与生活污水一同经化粪池(玻璃钢化粪池2个，单个容积为50m</w:t>
                  </w:r>
                  <w:r>
                    <w:rPr>
                      <w:rFonts w:hint="eastAsia" w:ascii="宋体" w:hAnsi="宋体" w:cs="宋体"/>
                      <w:color w:val="auto"/>
                      <w:sz w:val="21"/>
                      <w:szCs w:val="21"/>
                      <w:vertAlign w:val="superscript"/>
                    </w:rPr>
                    <w:t>3</w:t>
                  </w:r>
                  <w:r>
                    <w:rPr>
                      <w:rFonts w:hint="eastAsia" w:ascii="宋体" w:hAnsi="宋体" w:cs="宋体"/>
                      <w:color w:val="auto"/>
                      <w:sz w:val="21"/>
                      <w:szCs w:val="21"/>
                    </w:rPr>
                    <w:t>)预处理后排入园区污水管网。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Merge w:val="continue"/>
                  <w:tcBorders>
                    <w:tl2br w:val="nil"/>
                    <w:tr2bl w:val="nil"/>
                  </w:tcBorders>
                  <w:vAlign w:val="center"/>
                </w:tcPr>
                <w:p>
                  <w:pPr>
                    <w:ind w:firstLine="0" w:firstLineChars="0"/>
                    <w:jc w:val="center"/>
                    <w:rPr>
                      <w:rFonts w:hint="eastAsia" w:ascii="宋体" w:hAnsi="宋体" w:cs="宋体"/>
                      <w:color w:val="auto"/>
                      <w:sz w:val="21"/>
                      <w:szCs w:val="21"/>
                    </w:rPr>
                  </w:pPr>
                </w:p>
              </w:tc>
              <w:tc>
                <w:tcPr>
                  <w:tcW w:w="1226" w:type="dxa"/>
                  <w:gridSpan w:val="2"/>
                  <w:vMerge w:val="continue"/>
                  <w:tcBorders>
                    <w:tl2br w:val="nil"/>
                    <w:tr2bl w:val="nil"/>
                  </w:tcBorders>
                  <w:vAlign w:val="center"/>
                </w:tcPr>
                <w:p>
                  <w:pPr>
                    <w:ind w:firstLine="0" w:firstLineChars="0"/>
                    <w:jc w:val="center"/>
                    <w:rPr>
                      <w:rFonts w:hint="eastAsia" w:ascii="宋体" w:hAnsi="宋体" w:cs="宋体"/>
                      <w:color w:val="auto"/>
                      <w:sz w:val="21"/>
                      <w:szCs w:val="21"/>
                    </w:rPr>
                  </w:pPr>
                </w:p>
              </w:tc>
              <w:tc>
                <w:tcPr>
                  <w:tcW w:w="6268" w:type="dxa"/>
                  <w:gridSpan w:val="2"/>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在厂区地势最低处设置初期雨水收集池一座，</w:t>
                  </w:r>
                  <w:r>
                    <w:rPr>
                      <w:rFonts w:hint="eastAsia"/>
                      <w:color w:val="auto"/>
                      <w:sz w:val="21"/>
                      <w:szCs w:val="21"/>
                    </w:rPr>
                    <w:t>初期雨水收集池容积90</w:t>
                  </w:r>
                  <w:r>
                    <w:rPr>
                      <w:color w:val="auto"/>
                      <w:sz w:val="21"/>
                      <w:szCs w:val="21"/>
                    </w:rPr>
                    <w:t>m</w:t>
                  </w:r>
                  <w:r>
                    <w:rPr>
                      <w:color w:val="auto"/>
                      <w:sz w:val="21"/>
                      <w:szCs w:val="21"/>
                      <w:vertAlign w:val="superscript"/>
                    </w:rPr>
                    <w:t>3</w:t>
                  </w:r>
                  <w:r>
                    <w:rPr>
                      <w:rFonts w:hint="eastAsia"/>
                      <w:color w:val="auto"/>
                      <w:sz w:val="21"/>
                      <w:szCs w:val="21"/>
                    </w:rPr>
                    <w:t>，池底及池壁均使用HDPE进行防渗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Merge w:val="continue"/>
                  <w:tcBorders>
                    <w:tl2br w:val="nil"/>
                    <w:tr2bl w:val="nil"/>
                  </w:tcBorders>
                  <w:vAlign w:val="center"/>
                </w:tcPr>
                <w:p>
                  <w:pPr>
                    <w:ind w:firstLine="0" w:firstLineChars="0"/>
                    <w:jc w:val="center"/>
                    <w:rPr>
                      <w:rFonts w:hint="eastAsia" w:ascii="宋体" w:hAnsi="宋体" w:cs="宋体"/>
                      <w:color w:val="auto"/>
                      <w:sz w:val="21"/>
                      <w:szCs w:val="21"/>
                    </w:rPr>
                  </w:pPr>
                </w:p>
              </w:tc>
              <w:tc>
                <w:tcPr>
                  <w:tcW w:w="1226" w:type="dxa"/>
                  <w:gridSpan w:val="2"/>
                  <w:vMerge w:val="continue"/>
                  <w:tcBorders>
                    <w:tl2br w:val="nil"/>
                    <w:tr2bl w:val="nil"/>
                  </w:tcBorders>
                  <w:vAlign w:val="center"/>
                </w:tcPr>
                <w:p>
                  <w:pPr>
                    <w:ind w:firstLine="0" w:firstLineChars="0"/>
                    <w:jc w:val="center"/>
                    <w:rPr>
                      <w:rFonts w:hint="eastAsia" w:ascii="宋体" w:hAnsi="宋体" w:cs="宋体"/>
                      <w:color w:val="auto"/>
                      <w:sz w:val="21"/>
                      <w:szCs w:val="21"/>
                    </w:rPr>
                  </w:pPr>
                </w:p>
              </w:tc>
              <w:tc>
                <w:tcPr>
                  <w:tcW w:w="6268" w:type="dxa"/>
                  <w:gridSpan w:val="2"/>
                  <w:tcBorders>
                    <w:tl2br w:val="nil"/>
                    <w:tr2bl w:val="nil"/>
                  </w:tcBorders>
                  <w:vAlign w:val="center"/>
                </w:tcPr>
                <w:p>
                  <w:pPr>
                    <w:ind w:firstLine="0" w:firstLineChars="0"/>
                    <w:jc w:val="center"/>
                    <w:rPr>
                      <w:rFonts w:hint="eastAsia" w:ascii="宋体" w:hAnsi="宋体" w:cs="宋体"/>
                      <w:color w:val="auto"/>
                      <w:sz w:val="21"/>
                      <w:szCs w:val="21"/>
                    </w:rPr>
                  </w:pPr>
                  <w:r>
                    <w:rPr>
                      <w:rFonts w:hint="eastAsia"/>
                      <w:color w:val="auto"/>
                      <w:spacing w:val="1"/>
                      <w:sz w:val="21"/>
                      <w:szCs w:val="21"/>
                    </w:rPr>
                    <w:t>在洗车平台处设置</w:t>
                  </w:r>
                  <w:r>
                    <w:rPr>
                      <w:color w:val="auto"/>
                      <w:spacing w:val="1"/>
                      <w:sz w:val="21"/>
                      <w:szCs w:val="21"/>
                    </w:rPr>
                    <w:t>沉淀池</w:t>
                  </w:r>
                  <w:r>
                    <w:rPr>
                      <w:rFonts w:hint="eastAsia"/>
                      <w:color w:val="auto"/>
                      <w:spacing w:val="1"/>
                      <w:sz w:val="21"/>
                      <w:szCs w:val="21"/>
                    </w:rPr>
                    <w:t>一座，容积为3m</w:t>
                  </w:r>
                  <w:r>
                    <w:rPr>
                      <w:rFonts w:hint="eastAsia"/>
                      <w:color w:val="auto"/>
                      <w:spacing w:val="1"/>
                      <w:sz w:val="21"/>
                      <w:szCs w:val="21"/>
                      <w:vertAlign w:val="superscript"/>
                    </w:rPr>
                    <w:t>3</w:t>
                  </w:r>
                  <w:r>
                    <w:rPr>
                      <w:rFonts w:hint="eastAsia"/>
                      <w:color w:val="auto"/>
                      <w:spacing w:val="1"/>
                      <w:sz w:val="21"/>
                      <w:szCs w:val="21"/>
                    </w:rPr>
                    <w:t>，混凝土浇筑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61" w:type="dxa"/>
                  <w:vMerge w:val="continue"/>
                  <w:tcBorders>
                    <w:tl2br w:val="nil"/>
                    <w:tr2bl w:val="nil"/>
                  </w:tcBorders>
                  <w:vAlign w:val="center"/>
                </w:tcPr>
                <w:p>
                  <w:pPr>
                    <w:ind w:firstLine="0" w:firstLineChars="0"/>
                    <w:jc w:val="center"/>
                    <w:rPr>
                      <w:rFonts w:hint="eastAsia" w:ascii="宋体" w:hAnsi="宋体"/>
                      <w:color w:val="auto"/>
                      <w:sz w:val="21"/>
                      <w:szCs w:val="21"/>
                    </w:rPr>
                  </w:pPr>
                </w:p>
              </w:tc>
              <w:tc>
                <w:tcPr>
                  <w:tcW w:w="720" w:type="dxa"/>
                  <w:vMerge w:val="restar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废气</w:t>
                  </w:r>
                </w:p>
              </w:tc>
              <w:tc>
                <w:tcPr>
                  <w:tcW w:w="506" w:type="dxa"/>
                  <w:vMerge w:val="restar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有组织</w:t>
                  </w:r>
                </w:p>
              </w:tc>
              <w:tc>
                <w:tcPr>
                  <w:tcW w:w="1325" w:type="dxa"/>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沥青烟气、烘干废气</w:t>
                  </w:r>
                </w:p>
              </w:tc>
              <w:tc>
                <w:tcPr>
                  <w:tcW w:w="4943" w:type="dxa"/>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项目沥青加热、搅拌及卸料工序将有少量沥青烟气，该部分沥青烟气通过集气装置引入总集气管道，最终经电捕焦油器+活性炭吸附处理后，与经过袋式除尘器处理后的烘干废气经15m高排气筒（DA001）外排,电捕焦油器+活性炭吸附处理设施净化效率为90%，袋式除尘器除尘效率为99%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48" w:hRule="atLeast"/>
                <w:jc w:val="center"/>
              </w:trPr>
              <w:tc>
                <w:tcPr>
                  <w:tcW w:w="661" w:type="dxa"/>
                  <w:vMerge w:val="continue"/>
                  <w:tcBorders>
                    <w:tl2br w:val="nil"/>
                    <w:tr2bl w:val="nil"/>
                  </w:tcBorders>
                  <w:vAlign w:val="center"/>
                </w:tcPr>
                <w:p>
                  <w:pPr>
                    <w:ind w:firstLine="0" w:firstLineChars="0"/>
                    <w:jc w:val="center"/>
                    <w:rPr>
                      <w:rFonts w:hint="eastAsia" w:ascii="宋体" w:hAnsi="宋体"/>
                      <w:color w:val="auto"/>
                      <w:sz w:val="21"/>
                      <w:szCs w:val="21"/>
                    </w:rPr>
                  </w:pPr>
                </w:p>
              </w:tc>
              <w:tc>
                <w:tcPr>
                  <w:tcW w:w="720" w:type="dxa"/>
                  <w:vMerge w:val="continue"/>
                  <w:tcBorders>
                    <w:tl2br w:val="nil"/>
                    <w:tr2bl w:val="nil"/>
                  </w:tcBorders>
                  <w:vAlign w:val="center"/>
                </w:tcPr>
                <w:p>
                  <w:pPr>
                    <w:ind w:firstLine="0" w:firstLineChars="0"/>
                    <w:jc w:val="center"/>
                    <w:rPr>
                      <w:rFonts w:hint="eastAsia" w:ascii="宋体" w:hAnsi="宋体" w:cs="宋体"/>
                      <w:color w:val="auto"/>
                      <w:sz w:val="21"/>
                      <w:szCs w:val="21"/>
                    </w:rPr>
                  </w:pPr>
                </w:p>
              </w:tc>
              <w:tc>
                <w:tcPr>
                  <w:tcW w:w="506" w:type="dxa"/>
                  <w:vMerge w:val="continue"/>
                  <w:tcBorders>
                    <w:tl2br w:val="nil"/>
                    <w:tr2bl w:val="nil"/>
                  </w:tcBorders>
                  <w:vAlign w:val="center"/>
                </w:tcPr>
                <w:p>
                  <w:pPr>
                    <w:ind w:firstLine="0" w:firstLineChars="0"/>
                    <w:jc w:val="center"/>
                    <w:rPr>
                      <w:rFonts w:hint="eastAsia" w:ascii="宋体" w:hAnsi="宋体" w:cs="宋体"/>
                      <w:color w:val="auto"/>
                      <w:sz w:val="21"/>
                      <w:szCs w:val="21"/>
                    </w:rPr>
                  </w:pPr>
                </w:p>
              </w:tc>
              <w:tc>
                <w:tcPr>
                  <w:tcW w:w="1325" w:type="dxa"/>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烟气</w:t>
                  </w:r>
                </w:p>
              </w:tc>
              <w:tc>
                <w:tcPr>
                  <w:tcW w:w="4943" w:type="dxa"/>
                  <w:tcBorders>
                    <w:tl2br w:val="nil"/>
                    <w:tr2bl w:val="nil"/>
                  </w:tcBorders>
                  <w:vAlign w:val="center"/>
                </w:tcPr>
                <w:p>
                  <w:pPr>
                    <w:widowControl/>
                    <w:ind w:firstLine="0" w:firstLineChars="0"/>
                    <w:jc w:val="left"/>
                    <w:rPr>
                      <w:rFonts w:hint="eastAsia" w:ascii="宋体" w:hAnsi="宋体" w:cs="宋体"/>
                      <w:color w:val="auto"/>
                      <w:sz w:val="21"/>
                      <w:szCs w:val="21"/>
                    </w:rPr>
                  </w:pPr>
                  <w:r>
                    <w:rPr>
                      <w:rFonts w:hint="eastAsia" w:ascii="宋体" w:hAnsi="宋体" w:cs="宋体"/>
                      <w:b/>
                      <w:bCs/>
                      <w:color w:val="auto"/>
                      <w:sz w:val="21"/>
                      <w:szCs w:val="21"/>
                    </w:rPr>
                    <w:t>锅炉废气：</w:t>
                  </w:r>
                  <w:r>
                    <w:rPr>
                      <w:rFonts w:hint="eastAsia" w:ascii="宋体" w:hAnsi="宋体" w:cs="宋体"/>
                      <w:bCs/>
                      <w:color w:val="auto"/>
                      <w:sz w:val="21"/>
                      <w:szCs w:val="21"/>
                    </w:rPr>
                    <w:t>项目沥青加热导热油炉选用柴油加热，其锅炉在运行过程中采用柴油燃烧供热，燃烧产生的主要污染因子为烟尘、SO</w:t>
                  </w:r>
                  <w:r>
                    <w:rPr>
                      <w:rFonts w:hint="eastAsia" w:ascii="宋体" w:hAnsi="宋体" w:cs="宋体"/>
                      <w:bCs/>
                      <w:color w:val="auto"/>
                      <w:sz w:val="21"/>
                      <w:szCs w:val="21"/>
                      <w:vertAlign w:val="subscript"/>
                    </w:rPr>
                    <w:t>2</w:t>
                  </w:r>
                  <w:r>
                    <w:rPr>
                      <w:rFonts w:hint="eastAsia" w:ascii="宋体" w:hAnsi="宋体" w:cs="宋体"/>
                      <w:bCs/>
                      <w:color w:val="auto"/>
                      <w:sz w:val="21"/>
                      <w:szCs w:val="21"/>
                    </w:rPr>
                    <w:t>、</w:t>
                  </w:r>
                  <w:r>
                    <w:rPr>
                      <w:rFonts w:hint="eastAsia" w:ascii="宋体" w:hAnsi="宋体" w:cs="宋体"/>
                      <w:color w:val="auto"/>
                      <w:sz w:val="21"/>
                      <w:szCs w:val="21"/>
                    </w:rPr>
                    <w:t>NO</w:t>
                  </w:r>
                  <w:r>
                    <w:rPr>
                      <w:rFonts w:hint="eastAsia" w:ascii="宋体" w:hAnsi="宋体" w:cs="宋体"/>
                      <w:color w:val="auto"/>
                      <w:sz w:val="21"/>
                      <w:szCs w:val="21"/>
                      <w:vertAlign w:val="subscript"/>
                    </w:rPr>
                    <w:t>x</w:t>
                  </w:r>
                  <w:r>
                    <w:rPr>
                      <w:rFonts w:hint="eastAsia" w:ascii="宋体" w:hAnsi="宋体" w:cs="宋体"/>
                      <w:color w:val="auto"/>
                      <w:sz w:val="21"/>
                      <w:szCs w:val="21"/>
                    </w:rPr>
                    <w:t>等。</w:t>
                  </w:r>
                  <w:r>
                    <w:rPr>
                      <w:rFonts w:hint="eastAsia" w:ascii="宋体" w:hAnsi="宋体" w:cs="宋体"/>
                      <w:b/>
                      <w:color w:val="auto"/>
                      <w:sz w:val="21"/>
                      <w:szCs w:val="21"/>
                    </w:rPr>
                    <w:t>锅炉废气最终经15m高排气筒（DA002）排放</w:t>
                  </w:r>
                  <w:r>
                    <w:rPr>
                      <w:rFonts w:hint="eastAsia" w:ascii="宋体" w:hAnsi="宋体" w:cs="宋体"/>
                      <w:bCs/>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661" w:type="dxa"/>
                  <w:vMerge w:val="continue"/>
                  <w:tcBorders>
                    <w:tl2br w:val="nil"/>
                    <w:tr2bl w:val="nil"/>
                  </w:tcBorders>
                  <w:vAlign w:val="center"/>
                </w:tcPr>
                <w:p>
                  <w:pPr>
                    <w:ind w:firstLine="0" w:firstLineChars="0"/>
                    <w:jc w:val="center"/>
                    <w:rPr>
                      <w:rFonts w:hint="eastAsia" w:ascii="宋体" w:hAnsi="宋体"/>
                      <w:color w:val="auto"/>
                      <w:sz w:val="21"/>
                      <w:szCs w:val="21"/>
                    </w:rPr>
                  </w:pPr>
                </w:p>
              </w:tc>
              <w:tc>
                <w:tcPr>
                  <w:tcW w:w="720" w:type="dxa"/>
                  <w:vMerge w:val="continue"/>
                  <w:tcBorders>
                    <w:tl2br w:val="nil"/>
                    <w:tr2bl w:val="nil"/>
                  </w:tcBorders>
                  <w:vAlign w:val="center"/>
                </w:tcPr>
                <w:p>
                  <w:pPr>
                    <w:ind w:firstLine="0" w:firstLineChars="0"/>
                    <w:jc w:val="center"/>
                    <w:rPr>
                      <w:rFonts w:hint="eastAsia" w:ascii="宋体" w:hAnsi="宋体" w:cs="宋体"/>
                      <w:color w:val="auto"/>
                      <w:sz w:val="21"/>
                      <w:szCs w:val="21"/>
                    </w:rPr>
                  </w:pPr>
                </w:p>
              </w:tc>
              <w:tc>
                <w:tcPr>
                  <w:tcW w:w="506" w:type="dxa"/>
                  <w:vMerge w:val="continue"/>
                  <w:tcBorders>
                    <w:tl2br w:val="nil"/>
                    <w:tr2bl w:val="nil"/>
                  </w:tcBorders>
                  <w:vAlign w:val="center"/>
                </w:tcPr>
                <w:p>
                  <w:pPr>
                    <w:ind w:firstLine="0" w:firstLineChars="0"/>
                    <w:jc w:val="center"/>
                    <w:rPr>
                      <w:rFonts w:hint="eastAsia" w:ascii="宋体" w:hAnsi="宋体" w:cs="宋体"/>
                      <w:color w:val="auto"/>
                      <w:sz w:val="21"/>
                      <w:szCs w:val="21"/>
                    </w:rPr>
                  </w:pPr>
                </w:p>
              </w:tc>
              <w:tc>
                <w:tcPr>
                  <w:tcW w:w="1325" w:type="dxa"/>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食堂油烟</w:t>
                  </w:r>
                </w:p>
              </w:tc>
              <w:tc>
                <w:tcPr>
                  <w:tcW w:w="4943" w:type="dxa"/>
                  <w:tcBorders>
                    <w:tl2br w:val="nil"/>
                    <w:tr2bl w:val="nil"/>
                  </w:tcBorders>
                  <w:vAlign w:val="center"/>
                </w:tcPr>
                <w:p>
                  <w:pPr>
                    <w:widowControl/>
                    <w:ind w:firstLine="0" w:firstLineChars="0"/>
                    <w:jc w:val="left"/>
                    <w:rPr>
                      <w:rFonts w:hint="eastAsia" w:ascii="宋体" w:hAnsi="宋体" w:cs="宋体"/>
                      <w:b/>
                      <w:bCs/>
                      <w:color w:val="auto"/>
                      <w:sz w:val="21"/>
                      <w:szCs w:val="21"/>
                    </w:rPr>
                  </w:pPr>
                  <w:r>
                    <w:rPr>
                      <w:rFonts w:hint="eastAsia"/>
                      <w:color w:val="auto"/>
                      <w:sz w:val="21"/>
                      <w:szCs w:val="21"/>
                    </w:rPr>
                    <w:t>食堂安装油烟净化器，油烟净化器</w:t>
                  </w:r>
                  <w:r>
                    <w:rPr>
                      <w:color w:val="auto"/>
                      <w:sz w:val="21"/>
                      <w:szCs w:val="21"/>
                    </w:rPr>
                    <w:t>的风量为</w:t>
                  </w:r>
                  <w:r>
                    <w:rPr>
                      <w:rFonts w:hint="eastAsia"/>
                      <w:color w:val="auto"/>
                      <w:sz w:val="21"/>
                      <w:szCs w:val="21"/>
                    </w:rPr>
                    <w:t>30</w:t>
                  </w:r>
                  <w:r>
                    <w:rPr>
                      <w:color w:val="auto"/>
                      <w:sz w:val="21"/>
                      <w:szCs w:val="21"/>
                    </w:rPr>
                    <w:t>00m</w:t>
                  </w:r>
                  <w:r>
                    <w:rPr>
                      <w:color w:val="auto"/>
                      <w:sz w:val="21"/>
                      <w:szCs w:val="21"/>
                      <w:vertAlign w:val="superscript"/>
                    </w:rPr>
                    <w:t>3</w:t>
                  </w:r>
                  <w:r>
                    <w:rPr>
                      <w:color w:val="auto"/>
                      <w:sz w:val="21"/>
                      <w:szCs w:val="21"/>
                    </w:rPr>
                    <w:t>/h，油烟去除效率为</w:t>
                  </w:r>
                  <w:r>
                    <w:rPr>
                      <w:rFonts w:hint="eastAsia"/>
                      <w:color w:val="auto"/>
                      <w:sz w:val="21"/>
                      <w:szCs w:val="21"/>
                    </w:rPr>
                    <w:t>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661" w:type="dxa"/>
                  <w:vMerge w:val="continue"/>
                  <w:tcBorders>
                    <w:tl2br w:val="nil"/>
                    <w:tr2bl w:val="nil"/>
                  </w:tcBorders>
                  <w:vAlign w:val="center"/>
                </w:tcPr>
                <w:p>
                  <w:pPr>
                    <w:ind w:firstLine="0" w:firstLineChars="0"/>
                    <w:jc w:val="center"/>
                    <w:rPr>
                      <w:rFonts w:hint="eastAsia" w:ascii="宋体" w:hAnsi="宋体"/>
                      <w:color w:val="auto"/>
                      <w:sz w:val="21"/>
                      <w:szCs w:val="21"/>
                    </w:rPr>
                  </w:pPr>
                </w:p>
              </w:tc>
              <w:tc>
                <w:tcPr>
                  <w:tcW w:w="720" w:type="dxa"/>
                  <w:vMerge w:val="continue"/>
                  <w:tcBorders>
                    <w:tl2br w:val="nil"/>
                    <w:tr2bl w:val="nil"/>
                  </w:tcBorders>
                  <w:vAlign w:val="center"/>
                </w:tcPr>
                <w:p>
                  <w:pPr>
                    <w:ind w:firstLine="0" w:firstLineChars="0"/>
                    <w:jc w:val="center"/>
                    <w:rPr>
                      <w:rFonts w:hint="eastAsia" w:ascii="宋体" w:hAnsi="宋体" w:cs="宋体"/>
                      <w:color w:val="auto"/>
                      <w:sz w:val="21"/>
                      <w:szCs w:val="21"/>
                    </w:rPr>
                  </w:pPr>
                </w:p>
              </w:tc>
              <w:tc>
                <w:tcPr>
                  <w:tcW w:w="1831" w:type="dxa"/>
                  <w:gridSpan w:val="2"/>
                  <w:vMerge w:val="restar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无组织扬尘</w:t>
                  </w:r>
                </w:p>
              </w:tc>
              <w:tc>
                <w:tcPr>
                  <w:tcW w:w="4943" w:type="dxa"/>
                  <w:tcBorders>
                    <w:tl2br w:val="nil"/>
                    <w:tr2bl w:val="nil"/>
                  </w:tcBorders>
                  <w:vAlign w:val="center"/>
                </w:tcPr>
                <w:p>
                  <w:pPr>
                    <w:ind w:firstLine="0" w:firstLineChars="0"/>
                    <w:rPr>
                      <w:rFonts w:hint="eastAsia" w:ascii="宋体" w:hAnsi="宋体" w:cs="宋体"/>
                      <w:color w:val="auto"/>
                      <w:sz w:val="21"/>
                      <w:szCs w:val="21"/>
                    </w:rPr>
                  </w:pPr>
                  <w:r>
                    <w:rPr>
                      <w:rFonts w:hint="eastAsia" w:ascii="宋体" w:hAnsi="宋体" w:cs="宋体"/>
                      <w:color w:val="auto"/>
                      <w:sz w:val="21"/>
                      <w:szCs w:val="21"/>
                    </w:rPr>
                    <w:t>采取封闭式上料系统，产生的粉尘经换气扇排出车间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661" w:type="dxa"/>
                  <w:vMerge w:val="continue"/>
                  <w:tcBorders>
                    <w:tl2br w:val="nil"/>
                    <w:tr2bl w:val="nil"/>
                  </w:tcBorders>
                  <w:vAlign w:val="center"/>
                </w:tcPr>
                <w:p>
                  <w:pPr>
                    <w:ind w:firstLine="0" w:firstLineChars="0"/>
                    <w:jc w:val="center"/>
                    <w:rPr>
                      <w:rFonts w:hint="eastAsia" w:ascii="宋体" w:hAnsi="宋体"/>
                      <w:color w:val="auto"/>
                      <w:sz w:val="21"/>
                      <w:szCs w:val="21"/>
                    </w:rPr>
                  </w:pPr>
                </w:p>
              </w:tc>
              <w:tc>
                <w:tcPr>
                  <w:tcW w:w="720" w:type="dxa"/>
                  <w:vMerge w:val="continue"/>
                  <w:tcBorders>
                    <w:tl2br w:val="nil"/>
                    <w:tr2bl w:val="nil"/>
                  </w:tcBorders>
                  <w:vAlign w:val="center"/>
                </w:tcPr>
                <w:p>
                  <w:pPr>
                    <w:ind w:firstLine="0" w:firstLineChars="0"/>
                    <w:jc w:val="center"/>
                    <w:rPr>
                      <w:rFonts w:hint="eastAsia" w:ascii="宋体" w:hAnsi="宋体" w:cs="宋体"/>
                      <w:color w:val="auto"/>
                      <w:sz w:val="21"/>
                      <w:szCs w:val="21"/>
                    </w:rPr>
                  </w:pPr>
                </w:p>
              </w:tc>
              <w:tc>
                <w:tcPr>
                  <w:tcW w:w="1831" w:type="dxa"/>
                  <w:gridSpan w:val="2"/>
                  <w:vMerge w:val="continue"/>
                  <w:tcBorders>
                    <w:tl2br w:val="nil"/>
                    <w:tr2bl w:val="nil"/>
                  </w:tcBorders>
                  <w:vAlign w:val="center"/>
                </w:tcPr>
                <w:p>
                  <w:pPr>
                    <w:ind w:firstLine="0" w:firstLineChars="0"/>
                    <w:jc w:val="center"/>
                    <w:rPr>
                      <w:rFonts w:hint="eastAsia" w:ascii="宋体" w:hAnsi="宋体" w:cs="宋体"/>
                      <w:color w:val="auto"/>
                      <w:sz w:val="21"/>
                      <w:szCs w:val="21"/>
                    </w:rPr>
                  </w:pPr>
                </w:p>
              </w:tc>
              <w:tc>
                <w:tcPr>
                  <w:tcW w:w="4943" w:type="dxa"/>
                  <w:tcBorders>
                    <w:tl2br w:val="nil"/>
                    <w:tr2bl w:val="nil"/>
                  </w:tcBorders>
                  <w:vAlign w:val="center"/>
                </w:tcPr>
                <w:p>
                  <w:pPr>
                    <w:ind w:firstLine="0" w:firstLineChars="0"/>
                    <w:rPr>
                      <w:rFonts w:hint="eastAsia" w:ascii="宋体" w:hAnsi="宋体" w:cs="宋体"/>
                      <w:color w:val="auto"/>
                      <w:sz w:val="21"/>
                      <w:szCs w:val="21"/>
                    </w:rPr>
                  </w:pPr>
                  <w:r>
                    <w:rPr>
                      <w:rFonts w:hint="eastAsia" w:ascii="宋体" w:hAnsi="宋体" w:cs="宋体"/>
                      <w:color w:val="auto"/>
                      <w:sz w:val="21"/>
                      <w:szCs w:val="21"/>
                    </w:rPr>
                    <w:t>矿粉筒仓顶部设置袋式除尘器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Merge w:val="continue"/>
                  <w:tcBorders>
                    <w:tl2br w:val="nil"/>
                    <w:tr2bl w:val="nil"/>
                  </w:tcBorders>
                  <w:vAlign w:val="center"/>
                </w:tcPr>
                <w:p>
                  <w:pPr>
                    <w:ind w:firstLine="0" w:firstLineChars="0"/>
                    <w:jc w:val="center"/>
                    <w:rPr>
                      <w:rFonts w:hint="eastAsia" w:ascii="宋体" w:hAnsi="宋体"/>
                      <w:color w:val="auto"/>
                      <w:sz w:val="21"/>
                      <w:szCs w:val="21"/>
                    </w:rPr>
                  </w:pPr>
                </w:p>
              </w:tc>
              <w:tc>
                <w:tcPr>
                  <w:tcW w:w="720" w:type="dxa"/>
                  <w:vMerge w:val="continue"/>
                  <w:tcBorders>
                    <w:tl2br w:val="nil"/>
                    <w:tr2bl w:val="nil"/>
                  </w:tcBorders>
                  <w:vAlign w:val="center"/>
                </w:tcPr>
                <w:p>
                  <w:pPr>
                    <w:ind w:firstLine="0" w:firstLineChars="0"/>
                    <w:jc w:val="center"/>
                    <w:rPr>
                      <w:rFonts w:hint="eastAsia" w:ascii="宋体" w:hAnsi="宋体" w:cs="宋体"/>
                      <w:color w:val="auto"/>
                      <w:sz w:val="21"/>
                      <w:szCs w:val="21"/>
                    </w:rPr>
                  </w:pPr>
                </w:p>
              </w:tc>
              <w:tc>
                <w:tcPr>
                  <w:tcW w:w="1831" w:type="dxa"/>
                  <w:gridSpan w:val="2"/>
                  <w:vMerge w:val="continue"/>
                  <w:tcBorders>
                    <w:tl2br w:val="nil"/>
                    <w:tr2bl w:val="nil"/>
                  </w:tcBorders>
                  <w:vAlign w:val="center"/>
                </w:tcPr>
                <w:p>
                  <w:pPr>
                    <w:ind w:firstLine="0" w:firstLineChars="0"/>
                    <w:jc w:val="center"/>
                    <w:rPr>
                      <w:rFonts w:hint="eastAsia" w:ascii="宋体" w:hAnsi="宋体" w:cs="宋体"/>
                      <w:color w:val="auto"/>
                      <w:sz w:val="21"/>
                      <w:szCs w:val="21"/>
                    </w:rPr>
                  </w:pPr>
                </w:p>
              </w:tc>
              <w:tc>
                <w:tcPr>
                  <w:tcW w:w="4943" w:type="dxa"/>
                  <w:tcBorders>
                    <w:tl2br w:val="nil"/>
                    <w:tr2bl w:val="nil"/>
                  </w:tcBorders>
                  <w:vAlign w:val="center"/>
                </w:tcPr>
                <w:p>
                  <w:pPr>
                    <w:ind w:firstLine="0" w:firstLineChars="0"/>
                    <w:rPr>
                      <w:rFonts w:hint="eastAsia" w:ascii="宋体" w:hAnsi="宋体" w:cs="宋体"/>
                      <w:color w:val="auto"/>
                      <w:sz w:val="21"/>
                      <w:szCs w:val="21"/>
                    </w:rPr>
                  </w:pPr>
                  <w:r>
                    <w:rPr>
                      <w:rFonts w:hint="eastAsia" w:ascii="宋体" w:hAnsi="宋体" w:cs="宋体"/>
                      <w:color w:val="auto"/>
                      <w:sz w:val="21"/>
                      <w:szCs w:val="21"/>
                    </w:rPr>
                    <w:t>骨料堆场建在封闭车间内，顶部设置喷淋降尘设施，定期及时清扫</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Merge w:val="continue"/>
                  <w:tcBorders>
                    <w:tl2br w:val="nil"/>
                    <w:tr2bl w:val="nil"/>
                  </w:tcBorders>
                  <w:vAlign w:val="center"/>
                </w:tcPr>
                <w:p>
                  <w:pPr>
                    <w:ind w:firstLine="0" w:firstLineChars="0"/>
                    <w:jc w:val="center"/>
                    <w:rPr>
                      <w:rFonts w:hint="eastAsia" w:ascii="宋体" w:hAnsi="宋体"/>
                      <w:color w:val="auto"/>
                      <w:sz w:val="21"/>
                      <w:szCs w:val="21"/>
                    </w:rPr>
                  </w:pPr>
                </w:p>
              </w:tc>
              <w:tc>
                <w:tcPr>
                  <w:tcW w:w="720" w:type="dxa"/>
                  <w:vMerge w:val="continue"/>
                  <w:tcBorders>
                    <w:tl2br w:val="nil"/>
                    <w:tr2bl w:val="nil"/>
                  </w:tcBorders>
                  <w:vAlign w:val="center"/>
                </w:tcPr>
                <w:p>
                  <w:pPr>
                    <w:ind w:firstLine="0" w:firstLineChars="0"/>
                    <w:jc w:val="center"/>
                    <w:rPr>
                      <w:rFonts w:hint="eastAsia" w:ascii="宋体" w:hAnsi="宋体" w:cs="宋体"/>
                      <w:color w:val="auto"/>
                      <w:sz w:val="21"/>
                      <w:szCs w:val="21"/>
                    </w:rPr>
                  </w:pPr>
                </w:p>
              </w:tc>
              <w:tc>
                <w:tcPr>
                  <w:tcW w:w="1831" w:type="dxa"/>
                  <w:gridSpan w:val="2"/>
                  <w:vMerge w:val="continue"/>
                  <w:tcBorders>
                    <w:tl2br w:val="nil"/>
                    <w:tr2bl w:val="nil"/>
                  </w:tcBorders>
                  <w:vAlign w:val="center"/>
                </w:tcPr>
                <w:p>
                  <w:pPr>
                    <w:ind w:firstLine="0" w:firstLineChars="0"/>
                    <w:jc w:val="center"/>
                    <w:rPr>
                      <w:rFonts w:hint="eastAsia" w:ascii="宋体" w:hAnsi="宋体" w:cs="宋体"/>
                      <w:color w:val="auto"/>
                      <w:sz w:val="21"/>
                      <w:szCs w:val="21"/>
                    </w:rPr>
                  </w:pPr>
                </w:p>
              </w:tc>
              <w:tc>
                <w:tcPr>
                  <w:tcW w:w="4943" w:type="dxa"/>
                  <w:tcBorders>
                    <w:tl2br w:val="nil"/>
                    <w:tr2bl w:val="nil"/>
                  </w:tcBorders>
                  <w:vAlign w:val="center"/>
                </w:tcPr>
                <w:p>
                  <w:pPr>
                    <w:pStyle w:val="2"/>
                    <w:ind w:firstLine="424"/>
                    <w:rPr>
                      <w:rFonts w:hint="eastAsia" w:ascii="宋体" w:hAnsi="宋体" w:cs="宋体"/>
                      <w:color w:val="auto"/>
                      <w:szCs w:val="21"/>
                    </w:rPr>
                  </w:pPr>
                  <w:r>
                    <w:rPr>
                      <w:rFonts w:hint="eastAsia"/>
                      <w:color w:val="auto"/>
                      <w:spacing w:val="1"/>
                      <w:szCs w:val="21"/>
                    </w:rPr>
                    <w:t>厂区内设置洗车平台，</w:t>
                  </w:r>
                  <w:r>
                    <w:rPr>
                      <w:color w:val="auto"/>
                      <w:spacing w:val="1"/>
                      <w:szCs w:val="21"/>
                    </w:rPr>
                    <w:t>对车辆进行冲洗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Merge w:val="continue"/>
                  <w:tcBorders>
                    <w:tl2br w:val="nil"/>
                    <w:tr2bl w:val="nil"/>
                  </w:tcBorders>
                  <w:vAlign w:val="center"/>
                </w:tcPr>
                <w:p>
                  <w:pPr>
                    <w:ind w:firstLine="0" w:firstLineChars="0"/>
                    <w:jc w:val="center"/>
                    <w:rPr>
                      <w:rFonts w:hint="eastAsia" w:ascii="宋体" w:hAnsi="宋体"/>
                      <w:color w:val="auto"/>
                      <w:sz w:val="21"/>
                      <w:szCs w:val="21"/>
                    </w:rPr>
                  </w:pPr>
                </w:p>
              </w:tc>
              <w:tc>
                <w:tcPr>
                  <w:tcW w:w="720" w:type="dxa"/>
                  <w:vMerge w:val="continue"/>
                  <w:tcBorders>
                    <w:tl2br w:val="nil"/>
                    <w:tr2bl w:val="nil"/>
                  </w:tcBorders>
                  <w:vAlign w:val="center"/>
                </w:tcPr>
                <w:p>
                  <w:pPr>
                    <w:ind w:firstLine="0" w:firstLineChars="0"/>
                    <w:jc w:val="center"/>
                    <w:rPr>
                      <w:rFonts w:hint="eastAsia" w:ascii="宋体" w:hAnsi="宋体" w:cs="宋体"/>
                      <w:color w:val="auto"/>
                      <w:sz w:val="21"/>
                      <w:szCs w:val="21"/>
                    </w:rPr>
                  </w:pPr>
                </w:p>
              </w:tc>
              <w:tc>
                <w:tcPr>
                  <w:tcW w:w="1831" w:type="dxa"/>
                  <w:gridSpan w:val="2"/>
                  <w:vMerge w:val="continue"/>
                  <w:tcBorders>
                    <w:tl2br w:val="nil"/>
                    <w:tr2bl w:val="nil"/>
                  </w:tcBorders>
                  <w:vAlign w:val="center"/>
                </w:tcPr>
                <w:p>
                  <w:pPr>
                    <w:ind w:firstLine="0" w:firstLineChars="0"/>
                    <w:jc w:val="center"/>
                    <w:rPr>
                      <w:rFonts w:hint="eastAsia" w:ascii="宋体" w:hAnsi="宋体" w:cs="宋体"/>
                      <w:color w:val="auto"/>
                      <w:sz w:val="21"/>
                      <w:szCs w:val="21"/>
                    </w:rPr>
                  </w:pPr>
                </w:p>
              </w:tc>
              <w:tc>
                <w:tcPr>
                  <w:tcW w:w="4943" w:type="dxa"/>
                  <w:tcBorders>
                    <w:tl2br w:val="nil"/>
                    <w:tr2bl w:val="nil"/>
                  </w:tcBorders>
                  <w:vAlign w:val="center"/>
                </w:tcPr>
                <w:p>
                  <w:pPr>
                    <w:pStyle w:val="2"/>
                    <w:ind w:firstLine="0" w:firstLineChars="0"/>
                    <w:rPr>
                      <w:color w:val="auto"/>
                      <w:spacing w:val="1"/>
                      <w:szCs w:val="21"/>
                    </w:rPr>
                  </w:pPr>
                  <w:r>
                    <w:rPr>
                      <w:rFonts w:hint="eastAsia"/>
                      <w:color w:val="auto"/>
                      <w:spacing w:val="1"/>
                      <w:szCs w:val="21"/>
                    </w:rPr>
                    <w:t>水泥料仓及粉煤灰料仓仓顶自带袋式除尘器，呼吸粉尘经过处理后无组织排放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Merge w:val="continue"/>
                  <w:tcBorders>
                    <w:tl2br w:val="nil"/>
                    <w:tr2bl w:val="nil"/>
                  </w:tcBorders>
                  <w:vAlign w:val="center"/>
                </w:tcPr>
                <w:p>
                  <w:pPr>
                    <w:ind w:firstLine="0" w:firstLineChars="0"/>
                    <w:jc w:val="center"/>
                    <w:rPr>
                      <w:rFonts w:hint="eastAsia" w:ascii="宋体" w:hAnsi="宋体"/>
                      <w:color w:val="auto"/>
                      <w:sz w:val="21"/>
                      <w:szCs w:val="21"/>
                    </w:rPr>
                  </w:pPr>
                </w:p>
              </w:tc>
              <w:tc>
                <w:tcPr>
                  <w:tcW w:w="720" w:type="dxa"/>
                  <w:vMerge w:val="continue"/>
                  <w:tcBorders>
                    <w:tl2br w:val="nil"/>
                    <w:tr2bl w:val="nil"/>
                  </w:tcBorders>
                  <w:vAlign w:val="center"/>
                </w:tcPr>
                <w:p>
                  <w:pPr>
                    <w:ind w:firstLine="0" w:firstLineChars="0"/>
                    <w:jc w:val="center"/>
                    <w:rPr>
                      <w:rFonts w:hint="eastAsia" w:ascii="宋体" w:hAnsi="宋体" w:cs="宋体"/>
                      <w:color w:val="auto"/>
                      <w:sz w:val="21"/>
                      <w:szCs w:val="21"/>
                    </w:rPr>
                  </w:pPr>
                </w:p>
              </w:tc>
              <w:tc>
                <w:tcPr>
                  <w:tcW w:w="1831" w:type="dxa"/>
                  <w:gridSpan w:val="2"/>
                  <w:vMerge w:val="continue"/>
                  <w:tcBorders>
                    <w:tl2br w:val="nil"/>
                    <w:tr2bl w:val="nil"/>
                  </w:tcBorders>
                  <w:vAlign w:val="center"/>
                </w:tcPr>
                <w:p>
                  <w:pPr>
                    <w:ind w:firstLine="0" w:firstLineChars="0"/>
                    <w:jc w:val="center"/>
                    <w:rPr>
                      <w:rFonts w:hint="eastAsia" w:ascii="宋体" w:hAnsi="宋体" w:cs="宋体"/>
                      <w:color w:val="auto"/>
                      <w:sz w:val="21"/>
                      <w:szCs w:val="21"/>
                    </w:rPr>
                  </w:pPr>
                </w:p>
              </w:tc>
              <w:tc>
                <w:tcPr>
                  <w:tcW w:w="4943" w:type="dxa"/>
                  <w:tcBorders>
                    <w:tl2br w:val="nil"/>
                    <w:tr2bl w:val="nil"/>
                  </w:tcBorders>
                  <w:vAlign w:val="center"/>
                </w:tcPr>
                <w:p>
                  <w:pPr>
                    <w:pStyle w:val="2"/>
                    <w:ind w:firstLine="0" w:firstLineChars="0"/>
                    <w:rPr>
                      <w:color w:val="auto"/>
                      <w:spacing w:val="1"/>
                      <w:szCs w:val="21"/>
                    </w:rPr>
                  </w:pPr>
                  <w:r>
                    <w:rPr>
                      <w:rFonts w:hint="eastAsia"/>
                      <w:color w:val="auto"/>
                      <w:szCs w:val="21"/>
                    </w:rPr>
                    <w:t>2座搅拌楼产生的废气分别经过1套</w:t>
                  </w:r>
                  <w:r>
                    <w:rPr>
                      <w:rFonts w:hint="eastAsia" w:ascii="宋体" w:hAnsi="宋体" w:cs="宋体"/>
                      <w:color w:val="auto"/>
                      <w:szCs w:val="21"/>
                    </w:rPr>
                    <w:t>袋式除尘器处理后无组织排放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661" w:type="dxa"/>
                  <w:vMerge w:val="continue"/>
                  <w:tcBorders>
                    <w:tl2br w:val="nil"/>
                    <w:tr2bl w:val="nil"/>
                  </w:tcBorders>
                  <w:vAlign w:val="center"/>
                </w:tcPr>
                <w:p>
                  <w:pPr>
                    <w:ind w:firstLine="0" w:firstLineChars="0"/>
                    <w:jc w:val="center"/>
                    <w:rPr>
                      <w:rFonts w:hint="eastAsia" w:ascii="宋体" w:hAnsi="宋体"/>
                      <w:color w:val="auto"/>
                      <w:sz w:val="21"/>
                      <w:szCs w:val="21"/>
                    </w:rPr>
                  </w:pPr>
                </w:p>
              </w:tc>
              <w:tc>
                <w:tcPr>
                  <w:tcW w:w="1226" w:type="dxa"/>
                  <w:gridSpan w:val="2"/>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噪声</w:t>
                  </w:r>
                </w:p>
              </w:tc>
              <w:tc>
                <w:tcPr>
                  <w:tcW w:w="6268" w:type="dxa"/>
                  <w:gridSpan w:val="2"/>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安装减振、降噪装置及绿化等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Merge w:val="continue"/>
                  <w:tcBorders>
                    <w:tl2br w:val="nil"/>
                    <w:tr2bl w:val="nil"/>
                  </w:tcBorders>
                  <w:vAlign w:val="center"/>
                </w:tcPr>
                <w:p>
                  <w:pPr>
                    <w:ind w:firstLine="0" w:firstLineChars="0"/>
                    <w:jc w:val="center"/>
                    <w:rPr>
                      <w:rFonts w:hint="eastAsia" w:ascii="宋体" w:hAnsi="宋体"/>
                      <w:color w:val="auto"/>
                      <w:sz w:val="21"/>
                      <w:szCs w:val="21"/>
                    </w:rPr>
                  </w:pPr>
                </w:p>
              </w:tc>
              <w:tc>
                <w:tcPr>
                  <w:tcW w:w="1226" w:type="dxa"/>
                  <w:gridSpan w:val="2"/>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固体废物</w:t>
                  </w:r>
                </w:p>
              </w:tc>
              <w:tc>
                <w:tcPr>
                  <w:tcW w:w="6268" w:type="dxa"/>
                  <w:gridSpan w:val="2"/>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生活垃圾收集箱10个、餐厨垃圾收集装置，设置危废暂存间1座，面积为</w:t>
                  </w:r>
                  <w:r>
                    <w:rPr>
                      <w:color w:val="auto"/>
                      <w:sz w:val="21"/>
                      <w:szCs w:val="21"/>
                    </w:rPr>
                    <w:t>20m</w:t>
                  </w:r>
                  <w:r>
                    <w:rPr>
                      <w:color w:val="auto"/>
                      <w:sz w:val="21"/>
                      <w:szCs w:val="21"/>
                      <w:vertAlign w:val="superscript"/>
                    </w:rPr>
                    <w:t>2</w:t>
                  </w:r>
                  <w:r>
                    <w:rPr>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Merge w:val="continue"/>
                  <w:tcBorders>
                    <w:tl2br w:val="nil"/>
                    <w:tr2bl w:val="nil"/>
                  </w:tcBorders>
                  <w:vAlign w:val="center"/>
                </w:tcPr>
                <w:p>
                  <w:pPr>
                    <w:ind w:firstLine="0" w:firstLineChars="0"/>
                    <w:jc w:val="center"/>
                    <w:rPr>
                      <w:rFonts w:hint="eastAsia" w:ascii="宋体" w:hAnsi="宋体"/>
                      <w:color w:val="auto"/>
                      <w:sz w:val="21"/>
                      <w:szCs w:val="21"/>
                    </w:rPr>
                  </w:pPr>
                </w:p>
              </w:tc>
              <w:tc>
                <w:tcPr>
                  <w:tcW w:w="1226" w:type="dxa"/>
                  <w:gridSpan w:val="2"/>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环境风险</w:t>
                  </w:r>
                </w:p>
              </w:tc>
              <w:tc>
                <w:tcPr>
                  <w:tcW w:w="6268" w:type="dxa"/>
                  <w:gridSpan w:val="2"/>
                  <w:tcBorders>
                    <w:tl2br w:val="nil"/>
                    <w:tr2bl w:val="nil"/>
                  </w:tcBorders>
                  <w:vAlign w:val="center"/>
                </w:tcPr>
                <w:p>
                  <w:pPr>
                    <w:ind w:firstLine="0" w:firstLineChars="0"/>
                    <w:jc w:val="center"/>
                    <w:rPr>
                      <w:rFonts w:hint="eastAsia" w:ascii="宋体" w:hAnsi="宋体" w:cs="宋体"/>
                      <w:color w:val="auto"/>
                      <w:sz w:val="21"/>
                      <w:szCs w:val="21"/>
                    </w:rPr>
                  </w:pPr>
                  <w:r>
                    <w:rPr>
                      <w:color w:val="auto"/>
                      <w:sz w:val="21"/>
                      <w:szCs w:val="21"/>
                    </w:rPr>
                    <w:t>在沥青储罐</w:t>
                  </w:r>
                  <w:r>
                    <w:rPr>
                      <w:rFonts w:hint="eastAsia"/>
                      <w:color w:val="auto"/>
                      <w:sz w:val="21"/>
                      <w:szCs w:val="21"/>
                    </w:rPr>
                    <w:t>、导热油炉、柴油罐及重油罐</w:t>
                  </w:r>
                  <w:r>
                    <w:rPr>
                      <w:color w:val="auto"/>
                      <w:sz w:val="21"/>
                      <w:szCs w:val="21"/>
                    </w:rPr>
                    <w:t>四周</w:t>
                  </w:r>
                  <w:r>
                    <w:rPr>
                      <w:rFonts w:hint="eastAsia"/>
                      <w:color w:val="auto"/>
                      <w:sz w:val="21"/>
                      <w:szCs w:val="21"/>
                    </w:rPr>
                    <w:t>周边</w:t>
                  </w:r>
                  <w:r>
                    <w:rPr>
                      <w:color w:val="auto"/>
                      <w:sz w:val="21"/>
                      <w:szCs w:val="21"/>
                    </w:rPr>
                    <w:t>建设围堰，</w:t>
                  </w:r>
                  <w:r>
                    <w:rPr>
                      <w:rFonts w:hint="eastAsia"/>
                      <w:color w:val="auto"/>
                      <w:sz w:val="21"/>
                      <w:szCs w:val="21"/>
                    </w:rPr>
                    <w:t>柴油罐及重油罐为双层罐，</w:t>
                  </w:r>
                  <w:r>
                    <w:rPr>
                      <w:color w:val="auto"/>
                      <w:sz w:val="21"/>
                      <w:szCs w:val="21"/>
                    </w:rPr>
                    <w:t>在导热油炉旁设置事故油池，以便导热油泄漏时将导热油引流至事故应急池内</w:t>
                  </w:r>
                  <w:r>
                    <w:rPr>
                      <w:rFonts w:hint="eastAsia"/>
                      <w:color w:val="auto"/>
                      <w:sz w:val="21"/>
                      <w:szCs w:val="21"/>
                    </w:rPr>
                    <w:t>，事故应急池容积为</w:t>
                  </w:r>
                  <w:r>
                    <w:rPr>
                      <w:rFonts w:hint="eastAsia"/>
                      <w:color w:val="auto"/>
                      <w:sz w:val="21"/>
                      <w:szCs w:val="21"/>
                      <w:lang w:val="en-US" w:eastAsia="zh-CN"/>
                    </w:rPr>
                    <w:t>2</w:t>
                  </w:r>
                  <w:r>
                    <w:rPr>
                      <w:rFonts w:hint="eastAsia"/>
                      <w:color w:val="auto"/>
                      <w:sz w:val="21"/>
                      <w:szCs w:val="21"/>
                    </w:rPr>
                    <w:t>0m</w:t>
                  </w:r>
                  <w:r>
                    <w:rPr>
                      <w:rFonts w:hint="eastAsia"/>
                      <w:color w:val="auto"/>
                      <w:sz w:val="21"/>
                      <w:szCs w:val="21"/>
                      <w:vertAlign w:val="superscript"/>
                    </w:rPr>
                    <w:t>3</w:t>
                  </w:r>
                  <w:r>
                    <w:rPr>
                      <w:rFonts w:hint="eastAsia"/>
                      <w:color w:val="auto"/>
                      <w:sz w:val="21"/>
                      <w:szCs w:val="21"/>
                    </w:rPr>
                    <w:t>，</w:t>
                  </w:r>
                  <w:r>
                    <w:rPr>
                      <w:color w:val="auto"/>
                      <w:sz w:val="21"/>
                      <w:szCs w:val="21"/>
                    </w:rPr>
                    <w:t>围堰底部、内壁均采用防渗硬化</w:t>
                  </w:r>
                  <w:r>
                    <w:rPr>
                      <w:rFonts w:hint="eastAsia"/>
                      <w:color w:val="auto"/>
                      <w:sz w:val="21"/>
                      <w:szCs w:val="21"/>
                    </w:rPr>
                    <w:t>，设置消防事故池一座，容积</w:t>
                  </w:r>
                  <w:r>
                    <w:rPr>
                      <w:rFonts w:hint="eastAsia"/>
                      <w:color w:val="auto"/>
                      <w:sz w:val="21"/>
                      <w:szCs w:val="21"/>
                      <w:lang w:val="en-US" w:eastAsia="zh-CN"/>
                    </w:rPr>
                    <w:t>7</w:t>
                  </w:r>
                  <w:r>
                    <w:rPr>
                      <w:rFonts w:hint="eastAsia"/>
                      <w:color w:val="auto"/>
                      <w:sz w:val="21"/>
                      <w:szCs w:val="21"/>
                    </w:rPr>
                    <w:t>00</w:t>
                  </w:r>
                  <w:r>
                    <w:rPr>
                      <w:rFonts w:hint="eastAsia"/>
                      <w:color w:val="auto"/>
                      <w:spacing w:val="1"/>
                      <w:sz w:val="21"/>
                      <w:szCs w:val="21"/>
                    </w:rPr>
                    <w:t>m</w:t>
                  </w:r>
                  <w:r>
                    <w:rPr>
                      <w:rFonts w:hint="eastAsia"/>
                      <w:color w:val="auto"/>
                      <w:spacing w:val="1"/>
                      <w:sz w:val="21"/>
                      <w:szCs w:val="21"/>
                      <w:vertAlign w:val="superscript"/>
                    </w:rPr>
                    <w:t>3</w:t>
                  </w:r>
                </w:p>
              </w:tc>
            </w:tr>
          </w:tbl>
          <w:p>
            <w:pPr>
              <w:ind w:firstLine="480"/>
              <w:rPr>
                <w:color w:val="auto"/>
              </w:rPr>
            </w:pPr>
          </w:p>
          <w:p>
            <w:pPr>
              <w:ind w:firstLine="480"/>
              <w:rPr>
                <w:color w:val="auto"/>
              </w:rPr>
            </w:pPr>
          </w:p>
          <w:p>
            <w:pPr>
              <w:ind w:firstLine="480"/>
              <w:rPr>
                <w:color w:val="auto"/>
              </w:rPr>
            </w:pPr>
          </w:p>
          <w:p>
            <w:pPr>
              <w:pStyle w:val="4"/>
              <w:rPr>
                <w:color w:val="auto"/>
              </w:rPr>
            </w:pPr>
            <w:r>
              <w:rPr>
                <w:rFonts w:hint="eastAsia"/>
                <w:color w:val="auto"/>
              </w:rPr>
              <w:t>2主要产品方案</w:t>
            </w:r>
          </w:p>
          <w:p>
            <w:pPr>
              <w:ind w:firstLine="480"/>
              <w:rPr>
                <w:rFonts w:hint="eastAsia" w:ascii="宋体" w:hAnsi="宋体" w:cs="宋体"/>
                <w:color w:val="auto"/>
              </w:rPr>
            </w:pPr>
            <w:r>
              <w:rPr>
                <w:rFonts w:hint="eastAsia" w:ascii="宋体" w:hAnsi="宋体" w:cs="宋体"/>
                <w:color w:val="auto"/>
              </w:rPr>
              <w:t>年产 10 万方商品混凝土及 3 万吨新型环保沥青路面混凝土，根据订单生产，成品直接外运至施工现场，不贮存，产品方案如下表：</w:t>
            </w:r>
          </w:p>
          <w:p>
            <w:pPr>
              <w:ind w:firstLine="0" w:firstLineChars="0"/>
              <w:jc w:val="center"/>
              <w:rPr>
                <w:rFonts w:hint="eastAsia" w:ascii="宋体" w:hAnsi="宋体" w:cs="宋体"/>
                <w:color w:val="auto"/>
              </w:rPr>
            </w:pPr>
            <w:r>
              <w:rPr>
                <w:rFonts w:hint="eastAsia" w:ascii="宋体" w:hAnsi="宋体" w:cs="宋体"/>
                <w:color w:val="auto"/>
              </w:rPr>
              <w:t>表2-2  项目产品方案</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1694"/>
              <w:gridCol w:w="2473"/>
              <w:gridCol w:w="1670"/>
              <w:gridCol w:w="1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序号</w:t>
                  </w:r>
                </w:p>
              </w:tc>
              <w:tc>
                <w:tcPr>
                  <w:tcW w:w="1013" w:type="pct"/>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产品名称</w:t>
                  </w:r>
                </w:p>
              </w:tc>
              <w:tc>
                <w:tcPr>
                  <w:tcW w:w="1479" w:type="pct"/>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规格</w:t>
                  </w:r>
                </w:p>
              </w:tc>
              <w:tc>
                <w:tcPr>
                  <w:tcW w:w="999" w:type="pct"/>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年生产量</w:t>
                  </w:r>
                </w:p>
              </w:tc>
              <w:tc>
                <w:tcPr>
                  <w:tcW w:w="1000" w:type="pct"/>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厂内贮存量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1</w:t>
                  </w:r>
                </w:p>
              </w:tc>
              <w:tc>
                <w:tcPr>
                  <w:tcW w:w="1013" w:type="pct"/>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沥青路面混凝土</w:t>
                  </w:r>
                </w:p>
              </w:tc>
              <w:tc>
                <w:tcPr>
                  <w:tcW w:w="1479" w:type="pct"/>
                  <w:vAlign w:val="center"/>
                </w:tcPr>
                <w:p>
                  <w:pPr>
                    <w:ind w:firstLine="0" w:firstLineChars="0"/>
                    <w:jc w:val="center"/>
                    <w:rPr>
                      <w:color w:val="auto"/>
                      <w:sz w:val="21"/>
                      <w:szCs w:val="21"/>
                    </w:rPr>
                  </w:pPr>
                  <w:r>
                    <w:rPr>
                      <w:color w:val="auto"/>
                      <w:sz w:val="21"/>
                      <w:szCs w:val="21"/>
                    </w:rPr>
                    <w:t>AC0-3、AC3-5、AC5-10、</w:t>
                  </w:r>
                </w:p>
                <w:p>
                  <w:pPr>
                    <w:ind w:firstLine="0" w:firstLineChars="0"/>
                    <w:jc w:val="center"/>
                    <w:rPr>
                      <w:color w:val="auto"/>
                      <w:sz w:val="21"/>
                      <w:szCs w:val="21"/>
                    </w:rPr>
                  </w:pPr>
                  <w:r>
                    <w:rPr>
                      <w:color w:val="auto"/>
                      <w:sz w:val="21"/>
                      <w:szCs w:val="21"/>
                    </w:rPr>
                    <w:t>AC10-15</w:t>
                  </w:r>
                </w:p>
              </w:tc>
              <w:tc>
                <w:tcPr>
                  <w:tcW w:w="999" w:type="pct"/>
                  <w:vAlign w:val="center"/>
                </w:tcPr>
                <w:p>
                  <w:pPr>
                    <w:ind w:firstLine="0" w:firstLineChars="0"/>
                    <w:jc w:val="center"/>
                    <w:rPr>
                      <w:color w:val="auto"/>
                      <w:sz w:val="21"/>
                      <w:szCs w:val="21"/>
                    </w:rPr>
                  </w:pPr>
                  <w:r>
                    <w:rPr>
                      <w:color w:val="auto"/>
                      <w:sz w:val="21"/>
                      <w:szCs w:val="21"/>
                    </w:rPr>
                    <w:t>5万t</w:t>
                  </w:r>
                </w:p>
              </w:tc>
              <w:tc>
                <w:tcPr>
                  <w:tcW w:w="1000" w:type="pct"/>
                  <w:vMerge w:val="restart"/>
                  <w:vAlign w:val="center"/>
                </w:tcPr>
                <w:p>
                  <w:pPr>
                    <w:ind w:firstLine="0" w:firstLineChars="0"/>
                    <w:jc w:val="center"/>
                    <w:rPr>
                      <w:rFonts w:hint="eastAsia" w:ascii="宋体" w:hAnsi="宋体" w:cs="宋体"/>
                      <w:color w:val="auto"/>
                      <w:sz w:val="21"/>
                      <w:szCs w:val="21"/>
                    </w:rPr>
                  </w:pPr>
                  <w:r>
                    <w:rPr>
                      <w:rFonts w:ascii="宋体" w:hAnsi="宋体" w:cs="宋体"/>
                      <w:color w:val="auto"/>
                      <w:sz w:val="21"/>
                      <w:szCs w:val="21"/>
                    </w:rPr>
                    <w:t>0（根据订单生产，成品直接外运至施工现场，无需贮存）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2</w:t>
                  </w:r>
                </w:p>
              </w:tc>
              <w:tc>
                <w:tcPr>
                  <w:tcW w:w="1013" w:type="pct"/>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商品混凝土</w:t>
                  </w:r>
                </w:p>
              </w:tc>
              <w:tc>
                <w:tcPr>
                  <w:tcW w:w="1479" w:type="pct"/>
                  <w:vAlign w:val="center"/>
                </w:tcPr>
                <w:p>
                  <w:pPr>
                    <w:ind w:firstLine="0" w:firstLineChars="0"/>
                    <w:jc w:val="center"/>
                    <w:rPr>
                      <w:rFonts w:hint="eastAsia" w:ascii="宋体" w:hAnsi="宋体" w:cs="宋体"/>
                      <w:color w:val="auto"/>
                      <w:sz w:val="21"/>
                      <w:szCs w:val="21"/>
                    </w:rPr>
                  </w:pPr>
                  <w:r>
                    <w:rPr>
                      <w:rFonts w:hint="eastAsia"/>
                      <w:color w:val="auto"/>
                      <w:sz w:val="21"/>
                      <w:szCs w:val="21"/>
                    </w:rPr>
                    <w:t>根据客户要求决定产品规格，产品质量符合《混凝土质量控制标准》（</w:t>
                  </w:r>
                  <w:r>
                    <w:rPr>
                      <w:color w:val="auto"/>
                      <w:sz w:val="21"/>
                      <w:szCs w:val="21"/>
                    </w:rPr>
                    <w:t>GB50164-2011</w:t>
                  </w:r>
                  <w:r>
                    <w:rPr>
                      <w:rFonts w:hint="eastAsia"/>
                      <w:color w:val="auto"/>
                      <w:sz w:val="21"/>
                      <w:szCs w:val="21"/>
                    </w:rPr>
                    <w:t>）要求</w:t>
                  </w:r>
                </w:p>
              </w:tc>
              <w:tc>
                <w:tcPr>
                  <w:tcW w:w="999" w:type="pct"/>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10万m</w:t>
                  </w:r>
                  <w:r>
                    <w:rPr>
                      <w:rFonts w:hint="eastAsia" w:ascii="宋体" w:hAnsi="宋体" w:cs="宋体"/>
                      <w:color w:val="auto"/>
                      <w:sz w:val="21"/>
                      <w:szCs w:val="21"/>
                      <w:vertAlign w:val="superscript"/>
                    </w:rPr>
                    <w:t>3</w:t>
                  </w:r>
                </w:p>
              </w:tc>
              <w:tc>
                <w:tcPr>
                  <w:tcW w:w="1000" w:type="pct"/>
                  <w:vMerge w:val="continue"/>
                  <w:vAlign w:val="center"/>
                </w:tcPr>
                <w:p>
                  <w:pPr>
                    <w:ind w:firstLine="0" w:firstLineChars="0"/>
                    <w:jc w:val="center"/>
                    <w:rPr>
                      <w:rFonts w:hint="eastAsia" w:ascii="宋体" w:hAnsi="宋体" w:cs="宋体"/>
                      <w:color w:val="auto"/>
                      <w:sz w:val="21"/>
                      <w:szCs w:val="21"/>
                    </w:rPr>
                  </w:pPr>
                </w:p>
              </w:tc>
            </w:tr>
          </w:tbl>
          <w:p>
            <w:pPr>
              <w:ind w:firstLine="0" w:firstLineChars="0"/>
              <w:jc w:val="center"/>
              <w:rPr>
                <w:rFonts w:hint="eastAsia" w:ascii="宋体" w:hAnsi="宋体" w:cs="宋体"/>
                <w:color w:val="auto"/>
              </w:rPr>
            </w:pPr>
          </w:p>
          <w:p>
            <w:pPr>
              <w:pStyle w:val="4"/>
              <w:rPr>
                <w:color w:val="auto"/>
              </w:rPr>
            </w:pPr>
            <w:r>
              <w:rPr>
                <w:rFonts w:hint="eastAsia"/>
                <w:color w:val="auto"/>
              </w:rPr>
              <w:t>3原辅材料及能耗</w:t>
            </w:r>
          </w:p>
          <w:p>
            <w:pPr>
              <w:pStyle w:val="11"/>
              <w:ind w:firstLine="480"/>
              <w:rPr>
                <w:rFonts w:hint="eastAsia" w:ascii="宋体" w:hAnsi="宋体" w:cs="宋体"/>
                <w:b/>
                <w:bCs/>
                <w:color w:val="auto"/>
              </w:rPr>
            </w:pPr>
            <w:r>
              <w:rPr>
                <w:rFonts w:hint="eastAsia" w:ascii="宋体" w:hAnsi="宋体" w:cs="宋体"/>
                <w:color w:val="auto"/>
              </w:rPr>
              <w:t>该项目原辅材料均外购获得，主要有不同规格砂石料、矿粉、沥青、水泥、粉煤灰等，此外还有烘干筒加热骨料，沥青加热采用柴油锅炉；原辅材料年用量见表3。</w:t>
            </w:r>
          </w:p>
          <w:p>
            <w:pPr>
              <w:pStyle w:val="11"/>
              <w:ind w:firstLine="0" w:firstLineChars="0"/>
              <w:jc w:val="center"/>
              <w:rPr>
                <w:rFonts w:hint="eastAsia" w:ascii="宋体" w:hAnsi="宋体"/>
                <w:b/>
                <w:bCs/>
                <w:color w:val="auto"/>
              </w:rPr>
            </w:pPr>
            <w:r>
              <w:rPr>
                <w:rFonts w:hint="eastAsia" w:ascii="宋体" w:hAnsi="宋体"/>
                <w:b/>
                <w:bCs/>
                <w:color w:val="auto"/>
              </w:rPr>
              <w:t>表2-3    原辅材料年用量表</w:t>
            </w:r>
          </w:p>
          <w:tbl>
            <w:tblPr>
              <w:tblStyle w:val="31"/>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4"/>
              <w:gridCol w:w="1618"/>
              <w:gridCol w:w="795"/>
              <w:gridCol w:w="1185"/>
              <w:gridCol w:w="361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44" w:type="dxa"/>
                  <w:tcBorders>
                    <w:tl2br w:val="nil"/>
                    <w:tr2bl w:val="nil"/>
                  </w:tcBorders>
                  <w:vAlign w:val="center"/>
                </w:tcPr>
                <w:p>
                  <w:pPr>
                    <w:ind w:firstLine="0" w:firstLineChars="0"/>
                    <w:jc w:val="center"/>
                    <w:rPr>
                      <w:b/>
                      <w:bCs/>
                      <w:color w:val="auto"/>
                      <w:sz w:val="21"/>
                      <w:szCs w:val="21"/>
                    </w:rPr>
                  </w:pPr>
                  <w:r>
                    <w:rPr>
                      <w:b/>
                      <w:bCs/>
                      <w:color w:val="auto"/>
                      <w:sz w:val="21"/>
                      <w:szCs w:val="21"/>
                    </w:rPr>
                    <w:t>序号</w:t>
                  </w:r>
                </w:p>
              </w:tc>
              <w:tc>
                <w:tcPr>
                  <w:tcW w:w="1618" w:type="dxa"/>
                  <w:tcBorders>
                    <w:tl2br w:val="nil"/>
                    <w:tr2bl w:val="nil"/>
                  </w:tcBorders>
                  <w:vAlign w:val="center"/>
                </w:tcPr>
                <w:p>
                  <w:pPr>
                    <w:ind w:firstLine="0" w:firstLineChars="0"/>
                    <w:jc w:val="center"/>
                    <w:rPr>
                      <w:b/>
                      <w:bCs/>
                      <w:color w:val="auto"/>
                      <w:sz w:val="21"/>
                      <w:szCs w:val="21"/>
                    </w:rPr>
                  </w:pPr>
                  <w:r>
                    <w:rPr>
                      <w:b/>
                      <w:bCs/>
                      <w:color w:val="auto"/>
                      <w:sz w:val="21"/>
                      <w:szCs w:val="21"/>
                    </w:rPr>
                    <w:t>名称</w:t>
                  </w:r>
                </w:p>
              </w:tc>
              <w:tc>
                <w:tcPr>
                  <w:tcW w:w="795" w:type="dxa"/>
                  <w:tcBorders>
                    <w:tl2br w:val="nil"/>
                    <w:tr2bl w:val="nil"/>
                  </w:tcBorders>
                  <w:vAlign w:val="center"/>
                </w:tcPr>
                <w:p>
                  <w:pPr>
                    <w:ind w:firstLine="0" w:firstLineChars="0"/>
                    <w:jc w:val="center"/>
                    <w:rPr>
                      <w:b/>
                      <w:bCs/>
                      <w:color w:val="auto"/>
                      <w:sz w:val="21"/>
                      <w:szCs w:val="21"/>
                    </w:rPr>
                  </w:pPr>
                  <w:r>
                    <w:rPr>
                      <w:b/>
                      <w:bCs/>
                      <w:color w:val="auto"/>
                      <w:sz w:val="21"/>
                      <w:szCs w:val="21"/>
                    </w:rPr>
                    <w:t>单位</w:t>
                  </w:r>
                </w:p>
              </w:tc>
              <w:tc>
                <w:tcPr>
                  <w:tcW w:w="1185" w:type="dxa"/>
                  <w:tcBorders>
                    <w:tl2br w:val="nil"/>
                    <w:tr2bl w:val="nil"/>
                  </w:tcBorders>
                  <w:vAlign w:val="center"/>
                </w:tcPr>
                <w:p>
                  <w:pPr>
                    <w:ind w:firstLine="0" w:firstLineChars="0"/>
                    <w:jc w:val="center"/>
                    <w:rPr>
                      <w:b/>
                      <w:bCs/>
                      <w:color w:val="auto"/>
                      <w:sz w:val="21"/>
                      <w:szCs w:val="21"/>
                    </w:rPr>
                  </w:pPr>
                  <w:r>
                    <w:rPr>
                      <w:b/>
                      <w:bCs/>
                      <w:color w:val="auto"/>
                      <w:sz w:val="21"/>
                      <w:szCs w:val="21"/>
                    </w:rPr>
                    <w:t>年消耗量</w:t>
                  </w:r>
                </w:p>
              </w:tc>
              <w:tc>
                <w:tcPr>
                  <w:tcW w:w="3618" w:type="dxa"/>
                  <w:tcBorders>
                    <w:tl2br w:val="nil"/>
                    <w:tr2bl w:val="nil"/>
                  </w:tcBorders>
                </w:tcPr>
                <w:p>
                  <w:pPr>
                    <w:ind w:firstLine="0" w:firstLineChars="0"/>
                    <w:jc w:val="center"/>
                    <w:rPr>
                      <w:b/>
                      <w:bCs/>
                      <w:color w:val="auto"/>
                      <w:sz w:val="21"/>
                      <w:szCs w:val="21"/>
                    </w:rPr>
                  </w:pPr>
                  <w:r>
                    <w:rPr>
                      <w:b/>
                      <w:bCs/>
                      <w:color w:val="auto"/>
                      <w:sz w:val="21"/>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44" w:type="dxa"/>
                  <w:tcBorders>
                    <w:tl2br w:val="nil"/>
                    <w:tr2bl w:val="nil"/>
                  </w:tcBorders>
                  <w:vAlign w:val="center"/>
                </w:tcPr>
                <w:p>
                  <w:pPr>
                    <w:ind w:firstLine="0" w:firstLineChars="0"/>
                    <w:jc w:val="center"/>
                    <w:rPr>
                      <w:b/>
                      <w:bCs/>
                      <w:color w:val="auto"/>
                      <w:sz w:val="21"/>
                      <w:szCs w:val="21"/>
                    </w:rPr>
                  </w:pPr>
                  <w:r>
                    <w:rPr>
                      <w:b/>
                      <w:bCs/>
                      <w:color w:val="auto"/>
                      <w:sz w:val="21"/>
                      <w:szCs w:val="21"/>
                    </w:rPr>
                    <w:t>一</w:t>
                  </w:r>
                </w:p>
              </w:tc>
              <w:tc>
                <w:tcPr>
                  <w:tcW w:w="7216" w:type="dxa"/>
                  <w:gridSpan w:val="4"/>
                  <w:tcBorders>
                    <w:tl2br w:val="nil"/>
                    <w:tr2bl w:val="nil"/>
                  </w:tcBorders>
                  <w:vAlign w:val="center"/>
                </w:tcPr>
                <w:p>
                  <w:pPr>
                    <w:ind w:firstLine="0" w:firstLineChars="0"/>
                    <w:rPr>
                      <w:color w:val="auto"/>
                      <w:sz w:val="21"/>
                      <w:szCs w:val="21"/>
                    </w:rPr>
                  </w:pPr>
                  <w:r>
                    <w:rPr>
                      <w:b/>
                      <w:bCs/>
                      <w:color w:val="auto"/>
                      <w:sz w:val="21"/>
                      <w:szCs w:val="21"/>
                    </w:rPr>
                    <w:t>环保沥青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844" w:type="dxa"/>
                  <w:tcBorders>
                    <w:tl2br w:val="nil"/>
                    <w:tr2bl w:val="nil"/>
                  </w:tcBorders>
                  <w:vAlign w:val="center"/>
                </w:tcPr>
                <w:p>
                  <w:pPr>
                    <w:ind w:firstLine="0" w:firstLineChars="0"/>
                    <w:jc w:val="center"/>
                    <w:rPr>
                      <w:color w:val="auto"/>
                      <w:sz w:val="21"/>
                      <w:szCs w:val="21"/>
                    </w:rPr>
                  </w:pPr>
                  <w:r>
                    <w:rPr>
                      <w:color w:val="auto"/>
                      <w:sz w:val="21"/>
                      <w:szCs w:val="21"/>
                    </w:rPr>
                    <w:t>1</w:t>
                  </w:r>
                </w:p>
              </w:tc>
              <w:tc>
                <w:tcPr>
                  <w:tcW w:w="1618" w:type="dxa"/>
                  <w:tcBorders>
                    <w:tl2br w:val="nil"/>
                    <w:tr2bl w:val="nil"/>
                  </w:tcBorders>
                  <w:vAlign w:val="center"/>
                </w:tcPr>
                <w:p>
                  <w:pPr>
                    <w:ind w:firstLine="0" w:firstLineChars="0"/>
                    <w:jc w:val="center"/>
                    <w:rPr>
                      <w:color w:val="auto"/>
                      <w:sz w:val="21"/>
                      <w:szCs w:val="21"/>
                    </w:rPr>
                  </w:pPr>
                  <w:r>
                    <w:rPr>
                      <w:color w:val="auto"/>
                      <w:sz w:val="21"/>
                      <w:szCs w:val="21"/>
                    </w:rPr>
                    <w:t>砂石料</w:t>
                  </w:r>
                </w:p>
              </w:tc>
              <w:tc>
                <w:tcPr>
                  <w:tcW w:w="795" w:type="dxa"/>
                  <w:tcBorders>
                    <w:tl2br w:val="nil"/>
                    <w:tr2bl w:val="nil"/>
                  </w:tcBorders>
                  <w:vAlign w:val="center"/>
                </w:tcPr>
                <w:p>
                  <w:pPr>
                    <w:ind w:firstLine="0" w:firstLineChars="0"/>
                    <w:jc w:val="center"/>
                    <w:rPr>
                      <w:color w:val="auto"/>
                      <w:sz w:val="21"/>
                      <w:szCs w:val="21"/>
                    </w:rPr>
                  </w:pPr>
                  <w:r>
                    <w:rPr>
                      <w:rFonts w:hint="eastAsia"/>
                      <w:color w:val="auto"/>
                      <w:sz w:val="21"/>
                      <w:szCs w:val="21"/>
                    </w:rPr>
                    <w:t>吨</w:t>
                  </w:r>
                </w:p>
              </w:tc>
              <w:tc>
                <w:tcPr>
                  <w:tcW w:w="1185" w:type="dxa"/>
                  <w:tcBorders>
                    <w:tl2br w:val="nil"/>
                    <w:tr2bl w:val="nil"/>
                  </w:tcBorders>
                  <w:vAlign w:val="center"/>
                </w:tcPr>
                <w:p>
                  <w:pPr>
                    <w:widowControl/>
                    <w:ind w:firstLine="0" w:firstLineChars="0"/>
                    <w:jc w:val="center"/>
                    <w:textAlignment w:val="center"/>
                    <w:rPr>
                      <w:color w:val="auto"/>
                      <w:sz w:val="21"/>
                      <w:szCs w:val="21"/>
                    </w:rPr>
                  </w:pPr>
                  <w:r>
                    <w:rPr>
                      <w:rFonts w:hint="eastAsia"/>
                      <w:color w:val="auto"/>
                      <w:kern w:val="0"/>
                      <w:sz w:val="21"/>
                      <w:szCs w:val="21"/>
                      <w:lang w:bidi="ar"/>
                    </w:rPr>
                    <w:t>28800</w:t>
                  </w:r>
                </w:p>
              </w:tc>
              <w:tc>
                <w:tcPr>
                  <w:tcW w:w="3618" w:type="dxa"/>
                  <w:tcBorders>
                    <w:tl2br w:val="nil"/>
                    <w:tr2bl w:val="nil"/>
                  </w:tcBorders>
                  <w:vAlign w:val="center"/>
                </w:tcPr>
                <w:p>
                  <w:pPr>
                    <w:ind w:firstLine="0" w:firstLineChars="0"/>
                    <w:jc w:val="center"/>
                    <w:rPr>
                      <w:color w:val="auto"/>
                      <w:sz w:val="21"/>
                      <w:szCs w:val="21"/>
                    </w:rPr>
                  </w:pPr>
                  <w:r>
                    <w:rPr>
                      <w:color w:val="auto"/>
                      <w:sz w:val="21"/>
                      <w:szCs w:val="21"/>
                    </w:rPr>
                    <w:t>周边地区购入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44" w:type="dxa"/>
                  <w:tcBorders>
                    <w:tl2br w:val="nil"/>
                    <w:tr2bl w:val="nil"/>
                  </w:tcBorders>
                  <w:vAlign w:val="center"/>
                </w:tcPr>
                <w:p>
                  <w:pPr>
                    <w:ind w:firstLine="0" w:firstLineChars="0"/>
                    <w:jc w:val="center"/>
                    <w:rPr>
                      <w:color w:val="auto"/>
                      <w:sz w:val="21"/>
                      <w:szCs w:val="21"/>
                    </w:rPr>
                  </w:pPr>
                  <w:r>
                    <w:rPr>
                      <w:color w:val="auto"/>
                      <w:sz w:val="21"/>
                      <w:szCs w:val="21"/>
                    </w:rPr>
                    <w:t>2</w:t>
                  </w:r>
                </w:p>
              </w:tc>
              <w:tc>
                <w:tcPr>
                  <w:tcW w:w="1618" w:type="dxa"/>
                  <w:tcBorders>
                    <w:tl2br w:val="nil"/>
                    <w:tr2bl w:val="nil"/>
                  </w:tcBorders>
                  <w:vAlign w:val="center"/>
                </w:tcPr>
                <w:p>
                  <w:pPr>
                    <w:ind w:firstLine="0" w:firstLineChars="0"/>
                    <w:jc w:val="center"/>
                    <w:rPr>
                      <w:color w:val="auto"/>
                      <w:sz w:val="21"/>
                      <w:szCs w:val="21"/>
                    </w:rPr>
                  </w:pPr>
                  <w:r>
                    <w:rPr>
                      <w:color w:val="auto"/>
                      <w:sz w:val="21"/>
                      <w:szCs w:val="21"/>
                    </w:rPr>
                    <w:t>矿粉（石灰石）</w:t>
                  </w:r>
                </w:p>
              </w:tc>
              <w:tc>
                <w:tcPr>
                  <w:tcW w:w="795" w:type="dxa"/>
                  <w:tcBorders>
                    <w:tl2br w:val="nil"/>
                    <w:tr2bl w:val="nil"/>
                  </w:tcBorders>
                  <w:vAlign w:val="center"/>
                </w:tcPr>
                <w:p>
                  <w:pPr>
                    <w:ind w:firstLine="0" w:firstLineChars="0"/>
                    <w:jc w:val="center"/>
                    <w:rPr>
                      <w:color w:val="auto"/>
                      <w:sz w:val="21"/>
                      <w:szCs w:val="21"/>
                    </w:rPr>
                  </w:pPr>
                  <w:r>
                    <w:rPr>
                      <w:color w:val="auto"/>
                      <w:sz w:val="21"/>
                      <w:szCs w:val="21"/>
                    </w:rPr>
                    <w:t>t</w:t>
                  </w:r>
                </w:p>
              </w:tc>
              <w:tc>
                <w:tcPr>
                  <w:tcW w:w="1185" w:type="dxa"/>
                  <w:tcBorders>
                    <w:tl2br w:val="nil"/>
                    <w:tr2bl w:val="nil"/>
                  </w:tcBorders>
                  <w:vAlign w:val="center"/>
                </w:tcPr>
                <w:p>
                  <w:pPr>
                    <w:widowControl/>
                    <w:ind w:firstLine="0" w:firstLineChars="0"/>
                    <w:jc w:val="center"/>
                    <w:textAlignment w:val="center"/>
                    <w:rPr>
                      <w:color w:val="auto"/>
                      <w:sz w:val="21"/>
                      <w:szCs w:val="21"/>
                    </w:rPr>
                  </w:pPr>
                  <w:r>
                    <w:rPr>
                      <w:rFonts w:hint="eastAsia"/>
                      <w:color w:val="auto"/>
                      <w:kern w:val="0"/>
                      <w:sz w:val="21"/>
                      <w:szCs w:val="21"/>
                      <w:lang w:bidi="ar"/>
                    </w:rPr>
                    <w:t>1200</w:t>
                  </w:r>
                </w:p>
              </w:tc>
              <w:tc>
                <w:tcPr>
                  <w:tcW w:w="3618" w:type="dxa"/>
                  <w:tcBorders>
                    <w:tl2br w:val="nil"/>
                    <w:tr2bl w:val="nil"/>
                  </w:tcBorders>
                  <w:vAlign w:val="center"/>
                </w:tcPr>
                <w:p>
                  <w:pPr>
                    <w:ind w:firstLine="0" w:firstLineChars="0"/>
                    <w:jc w:val="center"/>
                    <w:rPr>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844" w:type="dxa"/>
                  <w:tcBorders>
                    <w:tl2br w:val="nil"/>
                    <w:tr2bl w:val="nil"/>
                  </w:tcBorders>
                  <w:vAlign w:val="center"/>
                </w:tcPr>
                <w:p>
                  <w:pPr>
                    <w:ind w:firstLine="0" w:firstLineChars="0"/>
                    <w:jc w:val="center"/>
                    <w:rPr>
                      <w:color w:val="auto"/>
                      <w:sz w:val="21"/>
                      <w:szCs w:val="21"/>
                    </w:rPr>
                  </w:pPr>
                  <w:r>
                    <w:rPr>
                      <w:color w:val="auto"/>
                      <w:sz w:val="21"/>
                      <w:szCs w:val="21"/>
                    </w:rPr>
                    <w:t>3</w:t>
                  </w:r>
                </w:p>
              </w:tc>
              <w:tc>
                <w:tcPr>
                  <w:tcW w:w="1618" w:type="dxa"/>
                  <w:tcBorders>
                    <w:tl2br w:val="nil"/>
                    <w:tr2bl w:val="nil"/>
                  </w:tcBorders>
                  <w:vAlign w:val="center"/>
                </w:tcPr>
                <w:p>
                  <w:pPr>
                    <w:ind w:firstLine="0" w:firstLineChars="0"/>
                    <w:jc w:val="center"/>
                    <w:rPr>
                      <w:color w:val="auto"/>
                      <w:sz w:val="21"/>
                      <w:szCs w:val="21"/>
                    </w:rPr>
                  </w:pPr>
                  <w:r>
                    <w:rPr>
                      <w:color w:val="auto"/>
                      <w:sz w:val="21"/>
                      <w:szCs w:val="21"/>
                    </w:rPr>
                    <w:t>沥青</w:t>
                  </w:r>
                </w:p>
              </w:tc>
              <w:tc>
                <w:tcPr>
                  <w:tcW w:w="795" w:type="dxa"/>
                  <w:tcBorders>
                    <w:tl2br w:val="nil"/>
                    <w:tr2bl w:val="nil"/>
                  </w:tcBorders>
                  <w:vAlign w:val="center"/>
                </w:tcPr>
                <w:p>
                  <w:pPr>
                    <w:ind w:firstLine="0" w:firstLineChars="0"/>
                    <w:jc w:val="center"/>
                    <w:rPr>
                      <w:color w:val="auto"/>
                      <w:sz w:val="21"/>
                      <w:szCs w:val="21"/>
                    </w:rPr>
                  </w:pPr>
                  <w:r>
                    <w:rPr>
                      <w:color w:val="auto"/>
                      <w:sz w:val="21"/>
                      <w:szCs w:val="21"/>
                    </w:rPr>
                    <w:t>t</w:t>
                  </w:r>
                </w:p>
              </w:tc>
              <w:tc>
                <w:tcPr>
                  <w:tcW w:w="1185" w:type="dxa"/>
                  <w:tcBorders>
                    <w:tl2br w:val="nil"/>
                    <w:tr2bl w:val="nil"/>
                  </w:tcBorders>
                  <w:vAlign w:val="center"/>
                </w:tcPr>
                <w:p>
                  <w:pPr>
                    <w:widowControl/>
                    <w:ind w:firstLine="0" w:firstLineChars="0"/>
                    <w:jc w:val="center"/>
                    <w:textAlignment w:val="center"/>
                    <w:rPr>
                      <w:color w:val="auto"/>
                      <w:sz w:val="21"/>
                      <w:szCs w:val="21"/>
                    </w:rPr>
                  </w:pPr>
                  <w:r>
                    <w:rPr>
                      <w:rFonts w:hint="eastAsia"/>
                      <w:color w:val="auto"/>
                      <w:kern w:val="0"/>
                      <w:sz w:val="21"/>
                      <w:szCs w:val="21"/>
                      <w:lang w:bidi="ar"/>
                    </w:rPr>
                    <w:t>1350</w:t>
                  </w:r>
                </w:p>
              </w:tc>
              <w:tc>
                <w:tcPr>
                  <w:tcW w:w="3618" w:type="dxa"/>
                  <w:tcBorders>
                    <w:tl2br w:val="nil"/>
                    <w:tr2bl w:val="nil"/>
                  </w:tcBorders>
                </w:tcPr>
                <w:p>
                  <w:pPr>
                    <w:ind w:firstLine="0" w:firstLineChars="0"/>
                    <w:jc w:val="center"/>
                    <w:rPr>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44" w:type="dxa"/>
                  <w:tcBorders>
                    <w:tl2br w:val="nil"/>
                    <w:tr2bl w:val="nil"/>
                  </w:tcBorders>
                  <w:vAlign w:val="center"/>
                </w:tcPr>
                <w:p>
                  <w:pPr>
                    <w:ind w:firstLine="0" w:firstLineChars="0"/>
                    <w:jc w:val="center"/>
                    <w:rPr>
                      <w:color w:val="auto"/>
                      <w:sz w:val="21"/>
                      <w:szCs w:val="21"/>
                    </w:rPr>
                  </w:pPr>
                  <w:r>
                    <w:rPr>
                      <w:rFonts w:hint="eastAsia"/>
                      <w:color w:val="auto"/>
                      <w:sz w:val="21"/>
                      <w:szCs w:val="21"/>
                    </w:rPr>
                    <w:t>4</w:t>
                  </w:r>
                </w:p>
              </w:tc>
              <w:tc>
                <w:tcPr>
                  <w:tcW w:w="1618" w:type="dxa"/>
                  <w:tcBorders>
                    <w:tl2br w:val="nil"/>
                    <w:tr2bl w:val="nil"/>
                  </w:tcBorders>
                  <w:vAlign w:val="center"/>
                </w:tcPr>
                <w:p>
                  <w:pPr>
                    <w:ind w:firstLine="0" w:firstLineChars="0"/>
                    <w:jc w:val="center"/>
                    <w:rPr>
                      <w:color w:val="auto"/>
                      <w:sz w:val="21"/>
                      <w:szCs w:val="21"/>
                    </w:rPr>
                  </w:pPr>
                  <w:r>
                    <w:rPr>
                      <w:rFonts w:hint="eastAsia"/>
                      <w:color w:val="auto"/>
                      <w:sz w:val="21"/>
                      <w:szCs w:val="21"/>
                    </w:rPr>
                    <w:t>水泥</w:t>
                  </w:r>
                </w:p>
              </w:tc>
              <w:tc>
                <w:tcPr>
                  <w:tcW w:w="795" w:type="dxa"/>
                  <w:tcBorders>
                    <w:tl2br w:val="nil"/>
                    <w:tr2bl w:val="nil"/>
                  </w:tcBorders>
                  <w:vAlign w:val="center"/>
                </w:tcPr>
                <w:p>
                  <w:pPr>
                    <w:ind w:firstLine="0" w:firstLineChars="0"/>
                    <w:jc w:val="center"/>
                    <w:rPr>
                      <w:color w:val="auto"/>
                      <w:sz w:val="21"/>
                      <w:szCs w:val="21"/>
                    </w:rPr>
                  </w:pPr>
                  <w:r>
                    <w:rPr>
                      <w:color w:val="auto"/>
                      <w:sz w:val="21"/>
                      <w:szCs w:val="21"/>
                    </w:rPr>
                    <w:t>t</w:t>
                  </w:r>
                </w:p>
              </w:tc>
              <w:tc>
                <w:tcPr>
                  <w:tcW w:w="1185" w:type="dxa"/>
                  <w:tcBorders>
                    <w:tl2br w:val="nil"/>
                    <w:tr2bl w:val="nil"/>
                  </w:tcBorders>
                  <w:vAlign w:val="center"/>
                </w:tcPr>
                <w:p>
                  <w:pPr>
                    <w:widowControl/>
                    <w:ind w:firstLine="0" w:firstLineChars="0"/>
                    <w:jc w:val="center"/>
                    <w:textAlignment w:val="center"/>
                    <w:rPr>
                      <w:color w:val="auto"/>
                      <w:kern w:val="0"/>
                      <w:sz w:val="21"/>
                      <w:szCs w:val="21"/>
                      <w:lang w:bidi="ar"/>
                    </w:rPr>
                  </w:pPr>
                  <w:r>
                    <w:rPr>
                      <w:rFonts w:hint="eastAsia"/>
                      <w:color w:val="auto"/>
                      <w:kern w:val="0"/>
                      <w:sz w:val="21"/>
                      <w:szCs w:val="21"/>
                      <w:lang w:bidi="ar"/>
                    </w:rPr>
                    <w:t>45000</w:t>
                  </w:r>
                </w:p>
              </w:tc>
              <w:tc>
                <w:tcPr>
                  <w:tcW w:w="3618" w:type="dxa"/>
                  <w:tcBorders>
                    <w:tl2br w:val="nil"/>
                    <w:tr2bl w:val="nil"/>
                  </w:tcBorders>
                </w:tcPr>
                <w:p>
                  <w:pPr>
                    <w:ind w:firstLine="0" w:firstLineChars="0"/>
                    <w:jc w:val="center"/>
                    <w:rPr>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44" w:type="dxa"/>
                  <w:tcBorders>
                    <w:tl2br w:val="nil"/>
                    <w:tr2bl w:val="nil"/>
                  </w:tcBorders>
                  <w:vAlign w:val="center"/>
                </w:tcPr>
                <w:p>
                  <w:pPr>
                    <w:ind w:firstLine="0" w:firstLineChars="0"/>
                    <w:jc w:val="center"/>
                    <w:rPr>
                      <w:color w:val="auto"/>
                      <w:sz w:val="21"/>
                      <w:szCs w:val="21"/>
                    </w:rPr>
                  </w:pPr>
                  <w:r>
                    <w:rPr>
                      <w:rFonts w:hint="eastAsia"/>
                      <w:color w:val="auto"/>
                      <w:sz w:val="21"/>
                      <w:szCs w:val="21"/>
                    </w:rPr>
                    <w:t>5</w:t>
                  </w:r>
                </w:p>
              </w:tc>
              <w:tc>
                <w:tcPr>
                  <w:tcW w:w="1618" w:type="dxa"/>
                  <w:tcBorders>
                    <w:tl2br w:val="nil"/>
                    <w:tr2bl w:val="nil"/>
                  </w:tcBorders>
                  <w:vAlign w:val="center"/>
                </w:tcPr>
                <w:p>
                  <w:pPr>
                    <w:ind w:firstLine="0" w:firstLineChars="0"/>
                    <w:jc w:val="center"/>
                    <w:rPr>
                      <w:color w:val="auto"/>
                      <w:sz w:val="21"/>
                      <w:szCs w:val="21"/>
                    </w:rPr>
                  </w:pPr>
                  <w:r>
                    <w:rPr>
                      <w:rFonts w:hint="eastAsia"/>
                      <w:color w:val="auto"/>
                      <w:sz w:val="21"/>
                      <w:szCs w:val="21"/>
                    </w:rPr>
                    <w:t>粉煤灰</w:t>
                  </w:r>
                </w:p>
              </w:tc>
              <w:tc>
                <w:tcPr>
                  <w:tcW w:w="795" w:type="dxa"/>
                  <w:tcBorders>
                    <w:tl2br w:val="nil"/>
                    <w:tr2bl w:val="nil"/>
                  </w:tcBorders>
                  <w:vAlign w:val="center"/>
                </w:tcPr>
                <w:p>
                  <w:pPr>
                    <w:ind w:firstLine="0" w:firstLineChars="0"/>
                    <w:jc w:val="center"/>
                    <w:rPr>
                      <w:color w:val="auto"/>
                      <w:sz w:val="21"/>
                      <w:szCs w:val="21"/>
                    </w:rPr>
                  </w:pPr>
                </w:p>
              </w:tc>
              <w:tc>
                <w:tcPr>
                  <w:tcW w:w="1185" w:type="dxa"/>
                  <w:tcBorders>
                    <w:tl2br w:val="nil"/>
                    <w:tr2bl w:val="nil"/>
                  </w:tcBorders>
                  <w:vAlign w:val="center"/>
                </w:tcPr>
                <w:p>
                  <w:pPr>
                    <w:widowControl/>
                    <w:ind w:firstLine="0" w:firstLineChars="0"/>
                    <w:jc w:val="center"/>
                    <w:textAlignment w:val="center"/>
                    <w:rPr>
                      <w:color w:val="auto"/>
                      <w:kern w:val="0"/>
                      <w:sz w:val="21"/>
                      <w:szCs w:val="21"/>
                      <w:lang w:bidi="ar"/>
                    </w:rPr>
                  </w:pPr>
                  <w:r>
                    <w:rPr>
                      <w:rFonts w:hint="eastAsia"/>
                      <w:color w:val="auto"/>
                      <w:kern w:val="0"/>
                      <w:sz w:val="21"/>
                      <w:szCs w:val="21"/>
                      <w:lang w:bidi="ar"/>
                    </w:rPr>
                    <w:t>20000</w:t>
                  </w:r>
                </w:p>
              </w:tc>
              <w:tc>
                <w:tcPr>
                  <w:tcW w:w="3618" w:type="dxa"/>
                  <w:tcBorders>
                    <w:tl2br w:val="nil"/>
                    <w:tr2bl w:val="nil"/>
                  </w:tcBorders>
                </w:tcPr>
                <w:p>
                  <w:pPr>
                    <w:ind w:firstLine="0" w:firstLineChars="0"/>
                    <w:jc w:val="center"/>
                    <w:rPr>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44" w:type="dxa"/>
                  <w:tcBorders>
                    <w:tl2br w:val="nil"/>
                    <w:tr2bl w:val="nil"/>
                  </w:tcBorders>
                  <w:vAlign w:val="center"/>
                </w:tcPr>
                <w:p>
                  <w:pPr>
                    <w:ind w:firstLine="0" w:firstLineChars="0"/>
                    <w:jc w:val="center"/>
                    <w:rPr>
                      <w:color w:val="auto"/>
                      <w:sz w:val="21"/>
                      <w:szCs w:val="21"/>
                    </w:rPr>
                  </w:pPr>
                  <w:r>
                    <w:rPr>
                      <w:rFonts w:hint="eastAsia"/>
                      <w:color w:val="auto"/>
                      <w:sz w:val="21"/>
                      <w:szCs w:val="21"/>
                    </w:rPr>
                    <w:t>6</w:t>
                  </w:r>
                </w:p>
              </w:tc>
              <w:tc>
                <w:tcPr>
                  <w:tcW w:w="1618" w:type="dxa"/>
                  <w:tcBorders>
                    <w:tl2br w:val="nil"/>
                    <w:tr2bl w:val="nil"/>
                  </w:tcBorders>
                  <w:vAlign w:val="center"/>
                </w:tcPr>
                <w:p>
                  <w:pPr>
                    <w:ind w:firstLine="0" w:firstLineChars="0"/>
                    <w:jc w:val="center"/>
                    <w:rPr>
                      <w:color w:val="auto"/>
                      <w:sz w:val="21"/>
                      <w:szCs w:val="21"/>
                    </w:rPr>
                  </w:pPr>
                  <w:r>
                    <w:rPr>
                      <w:rFonts w:hint="eastAsia"/>
                      <w:color w:val="auto"/>
                      <w:sz w:val="21"/>
                      <w:szCs w:val="21"/>
                    </w:rPr>
                    <w:t>减水剂</w:t>
                  </w:r>
                </w:p>
              </w:tc>
              <w:tc>
                <w:tcPr>
                  <w:tcW w:w="795" w:type="dxa"/>
                  <w:tcBorders>
                    <w:tl2br w:val="nil"/>
                    <w:tr2bl w:val="nil"/>
                  </w:tcBorders>
                  <w:vAlign w:val="center"/>
                </w:tcPr>
                <w:p>
                  <w:pPr>
                    <w:ind w:firstLine="0" w:firstLineChars="0"/>
                    <w:jc w:val="center"/>
                    <w:rPr>
                      <w:color w:val="auto"/>
                      <w:sz w:val="21"/>
                      <w:szCs w:val="21"/>
                    </w:rPr>
                  </w:pPr>
                </w:p>
              </w:tc>
              <w:tc>
                <w:tcPr>
                  <w:tcW w:w="1185" w:type="dxa"/>
                  <w:tcBorders>
                    <w:tl2br w:val="nil"/>
                    <w:tr2bl w:val="nil"/>
                  </w:tcBorders>
                  <w:vAlign w:val="center"/>
                </w:tcPr>
                <w:p>
                  <w:pPr>
                    <w:widowControl/>
                    <w:ind w:firstLine="0" w:firstLineChars="0"/>
                    <w:jc w:val="center"/>
                    <w:textAlignment w:val="center"/>
                    <w:rPr>
                      <w:color w:val="auto"/>
                      <w:kern w:val="0"/>
                      <w:sz w:val="21"/>
                      <w:szCs w:val="21"/>
                      <w:lang w:bidi="ar"/>
                    </w:rPr>
                  </w:pPr>
                  <w:r>
                    <w:rPr>
                      <w:rFonts w:hint="eastAsia"/>
                      <w:color w:val="auto"/>
                      <w:kern w:val="0"/>
                      <w:sz w:val="21"/>
                      <w:szCs w:val="21"/>
                      <w:lang w:bidi="ar"/>
                    </w:rPr>
                    <w:t>3500</w:t>
                  </w:r>
                </w:p>
              </w:tc>
              <w:tc>
                <w:tcPr>
                  <w:tcW w:w="3618" w:type="dxa"/>
                  <w:tcBorders>
                    <w:tl2br w:val="nil"/>
                    <w:tr2bl w:val="nil"/>
                  </w:tcBorders>
                </w:tcPr>
                <w:p>
                  <w:pPr>
                    <w:ind w:firstLine="0" w:firstLineChars="0"/>
                    <w:jc w:val="center"/>
                    <w:rPr>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44" w:type="dxa"/>
                  <w:tcBorders>
                    <w:tl2br w:val="nil"/>
                    <w:tr2bl w:val="nil"/>
                  </w:tcBorders>
                  <w:vAlign w:val="center"/>
                </w:tcPr>
                <w:p>
                  <w:pPr>
                    <w:ind w:firstLine="0" w:firstLineChars="0"/>
                    <w:jc w:val="center"/>
                    <w:rPr>
                      <w:color w:val="auto"/>
                      <w:sz w:val="21"/>
                      <w:szCs w:val="21"/>
                    </w:rPr>
                  </w:pPr>
                  <w:r>
                    <w:rPr>
                      <w:rFonts w:hint="eastAsia"/>
                      <w:color w:val="auto"/>
                      <w:sz w:val="21"/>
                      <w:szCs w:val="21"/>
                    </w:rPr>
                    <w:t>7</w:t>
                  </w:r>
                </w:p>
              </w:tc>
              <w:tc>
                <w:tcPr>
                  <w:tcW w:w="1618" w:type="dxa"/>
                  <w:tcBorders>
                    <w:tl2br w:val="nil"/>
                    <w:tr2bl w:val="nil"/>
                  </w:tcBorders>
                  <w:vAlign w:val="center"/>
                </w:tcPr>
                <w:p>
                  <w:pPr>
                    <w:ind w:firstLine="0" w:firstLineChars="0"/>
                    <w:jc w:val="center"/>
                    <w:rPr>
                      <w:color w:val="auto"/>
                      <w:sz w:val="21"/>
                      <w:szCs w:val="21"/>
                    </w:rPr>
                  </w:pPr>
                  <w:r>
                    <w:rPr>
                      <w:rFonts w:hint="eastAsia"/>
                      <w:color w:val="auto"/>
                      <w:sz w:val="21"/>
                      <w:szCs w:val="21"/>
                    </w:rPr>
                    <w:t>重油</w:t>
                  </w:r>
                </w:p>
              </w:tc>
              <w:tc>
                <w:tcPr>
                  <w:tcW w:w="795" w:type="dxa"/>
                  <w:tcBorders>
                    <w:tl2br w:val="nil"/>
                    <w:tr2bl w:val="nil"/>
                  </w:tcBorders>
                  <w:vAlign w:val="center"/>
                </w:tcPr>
                <w:p>
                  <w:pPr>
                    <w:ind w:firstLine="0" w:firstLineChars="0"/>
                    <w:jc w:val="center"/>
                    <w:rPr>
                      <w:color w:val="auto"/>
                      <w:sz w:val="21"/>
                      <w:szCs w:val="21"/>
                    </w:rPr>
                  </w:pPr>
                  <w:r>
                    <w:rPr>
                      <w:rFonts w:hint="eastAsia"/>
                      <w:color w:val="auto"/>
                      <w:sz w:val="21"/>
                      <w:szCs w:val="21"/>
                    </w:rPr>
                    <w:t>t</w:t>
                  </w:r>
                </w:p>
              </w:tc>
              <w:tc>
                <w:tcPr>
                  <w:tcW w:w="1185" w:type="dxa"/>
                  <w:tcBorders>
                    <w:tl2br w:val="nil"/>
                    <w:tr2bl w:val="nil"/>
                  </w:tcBorders>
                  <w:vAlign w:val="center"/>
                </w:tcPr>
                <w:p>
                  <w:pPr>
                    <w:ind w:firstLine="0" w:firstLineChars="0"/>
                    <w:jc w:val="center"/>
                    <w:rPr>
                      <w:color w:val="auto"/>
                      <w:sz w:val="21"/>
                      <w:szCs w:val="21"/>
                    </w:rPr>
                  </w:pPr>
                  <w:r>
                    <w:rPr>
                      <w:rFonts w:hint="eastAsia"/>
                      <w:color w:val="auto"/>
                      <w:sz w:val="21"/>
                      <w:szCs w:val="21"/>
                    </w:rPr>
                    <w:t>120</w:t>
                  </w:r>
                </w:p>
              </w:tc>
              <w:tc>
                <w:tcPr>
                  <w:tcW w:w="3618"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骨料烘干工段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44" w:type="dxa"/>
                  <w:tcBorders>
                    <w:tl2br w:val="nil"/>
                    <w:tr2bl w:val="nil"/>
                  </w:tcBorders>
                  <w:vAlign w:val="center"/>
                </w:tcPr>
                <w:p>
                  <w:pPr>
                    <w:ind w:firstLine="0" w:firstLineChars="0"/>
                    <w:jc w:val="center"/>
                    <w:rPr>
                      <w:color w:val="auto"/>
                      <w:sz w:val="21"/>
                      <w:szCs w:val="21"/>
                    </w:rPr>
                  </w:pPr>
                  <w:r>
                    <w:rPr>
                      <w:rFonts w:hint="eastAsia"/>
                      <w:color w:val="auto"/>
                      <w:sz w:val="21"/>
                      <w:szCs w:val="21"/>
                    </w:rPr>
                    <w:t>8</w:t>
                  </w:r>
                </w:p>
              </w:tc>
              <w:tc>
                <w:tcPr>
                  <w:tcW w:w="1618" w:type="dxa"/>
                  <w:tcBorders>
                    <w:tl2br w:val="nil"/>
                    <w:tr2bl w:val="nil"/>
                  </w:tcBorders>
                  <w:vAlign w:val="center"/>
                </w:tcPr>
                <w:p>
                  <w:pPr>
                    <w:ind w:firstLine="0" w:firstLineChars="0"/>
                    <w:jc w:val="center"/>
                    <w:rPr>
                      <w:color w:val="auto"/>
                      <w:sz w:val="21"/>
                      <w:szCs w:val="21"/>
                    </w:rPr>
                  </w:pPr>
                  <w:r>
                    <w:rPr>
                      <w:rFonts w:hint="eastAsia"/>
                      <w:color w:val="auto"/>
                      <w:sz w:val="21"/>
                      <w:szCs w:val="21"/>
                    </w:rPr>
                    <w:t>柴油</w:t>
                  </w:r>
                </w:p>
              </w:tc>
              <w:tc>
                <w:tcPr>
                  <w:tcW w:w="795" w:type="dxa"/>
                  <w:tcBorders>
                    <w:tl2br w:val="nil"/>
                    <w:tr2bl w:val="nil"/>
                  </w:tcBorders>
                  <w:vAlign w:val="center"/>
                </w:tcPr>
                <w:p>
                  <w:pPr>
                    <w:ind w:firstLine="0" w:firstLineChars="0"/>
                    <w:jc w:val="center"/>
                    <w:rPr>
                      <w:color w:val="auto"/>
                      <w:sz w:val="21"/>
                      <w:szCs w:val="21"/>
                    </w:rPr>
                  </w:pPr>
                  <w:r>
                    <w:rPr>
                      <w:rFonts w:hint="eastAsia"/>
                      <w:color w:val="auto"/>
                      <w:sz w:val="21"/>
                      <w:szCs w:val="21"/>
                    </w:rPr>
                    <w:t>t</w:t>
                  </w:r>
                </w:p>
              </w:tc>
              <w:tc>
                <w:tcPr>
                  <w:tcW w:w="1185" w:type="dxa"/>
                  <w:tcBorders>
                    <w:tl2br w:val="nil"/>
                    <w:tr2bl w:val="nil"/>
                  </w:tcBorders>
                  <w:vAlign w:val="center"/>
                </w:tcPr>
                <w:p>
                  <w:pPr>
                    <w:ind w:firstLine="0" w:firstLineChars="0"/>
                    <w:jc w:val="center"/>
                    <w:rPr>
                      <w:color w:val="auto"/>
                      <w:sz w:val="21"/>
                      <w:szCs w:val="21"/>
                    </w:rPr>
                  </w:pPr>
                  <w:r>
                    <w:rPr>
                      <w:rFonts w:hint="eastAsia"/>
                      <w:color w:val="auto"/>
                      <w:sz w:val="21"/>
                      <w:szCs w:val="21"/>
                    </w:rPr>
                    <w:t>30</w:t>
                  </w:r>
                </w:p>
              </w:tc>
              <w:tc>
                <w:tcPr>
                  <w:tcW w:w="3618"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用于沥青加热</w:t>
                  </w:r>
                </w:p>
              </w:tc>
            </w:tr>
          </w:tbl>
          <w:p>
            <w:pPr>
              <w:ind w:firstLine="482"/>
              <w:rPr>
                <w:rFonts w:hint="eastAsia" w:ascii="宋体" w:hAnsi="宋体" w:cs="宋体"/>
                <w:b/>
                <w:bCs/>
                <w:color w:val="auto"/>
              </w:rPr>
            </w:pPr>
          </w:p>
          <w:p>
            <w:pPr>
              <w:ind w:firstLine="482"/>
              <w:rPr>
                <w:rFonts w:hint="eastAsia" w:ascii="宋体" w:hAnsi="宋体" w:cs="宋体"/>
                <w:b/>
                <w:bCs/>
                <w:color w:val="auto"/>
              </w:rPr>
            </w:pPr>
            <w:r>
              <w:rPr>
                <w:rFonts w:hint="eastAsia" w:ascii="宋体" w:hAnsi="宋体" w:cs="宋体"/>
                <w:b/>
                <w:bCs/>
                <w:color w:val="auto"/>
              </w:rPr>
              <w:t>部分原辅材料理化性质：</w:t>
            </w:r>
          </w:p>
          <w:p>
            <w:pPr>
              <w:ind w:firstLine="480"/>
              <w:rPr>
                <w:color w:val="auto"/>
                <w:szCs w:val="20"/>
              </w:rPr>
            </w:pPr>
            <w:r>
              <w:rPr>
                <w:rFonts w:hint="eastAsia"/>
                <w:color w:val="auto"/>
                <w:szCs w:val="20"/>
              </w:rPr>
              <w:t>沥青：沥青是由不同分子量的碳氢化合物及其非金属衍生物组成的黑褐色复杂混合物，是高黏度有机液体的一种，呈液态，表面呈黑色，可溶于二硫化碳。沥青是一种防水防潮和防腐的有机胶凝材料。沥青主要可以分为煤焦沥青、石油沥青和天然沥青三种：其中，煤焦沥青是炼焦的副产品。石油沥青是原油蒸馏后的残渣。天然沥青则是储藏在地下，有的形成矿层或在地壳表面堆积。沥青主要用于涂料、塑料、橡胶等工业以及铺筑路面等。</w:t>
            </w:r>
          </w:p>
          <w:p>
            <w:pPr>
              <w:autoSpaceDE w:val="0"/>
              <w:autoSpaceDN w:val="0"/>
              <w:adjustRightInd w:val="0"/>
              <w:snapToGrid w:val="0"/>
              <w:ind w:firstLine="480"/>
              <w:jc w:val="left"/>
              <w:rPr>
                <w:color w:val="auto"/>
                <w:kern w:val="0"/>
              </w:rPr>
            </w:pPr>
            <w:r>
              <w:rPr>
                <w:color w:val="auto"/>
                <w:kern w:val="0"/>
              </w:rPr>
              <w:t>矿粉</w:t>
            </w:r>
            <w:r>
              <w:rPr>
                <w:rFonts w:hint="eastAsia"/>
                <w:color w:val="auto"/>
                <w:kern w:val="0"/>
              </w:rPr>
              <w:t>：</w:t>
            </w:r>
            <w:r>
              <w:rPr>
                <w:color w:val="auto"/>
                <w:kern w:val="0"/>
              </w:rPr>
              <w:t>矿粉在沥青混合料中起到填充作用</w:t>
            </w:r>
            <w:r>
              <w:rPr>
                <w:rFonts w:hint="eastAsia"/>
                <w:color w:val="auto"/>
                <w:kern w:val="0"/>
              </w:rPr>
              <w:t>，</w:t>
            </w:r>
            <w:r>
              <w:rPr>
                <w:color w:val="auto"/>
                <w:kern w:val="0"/>
              </w:rPr>
              <w:t>目的是减小沥青混凝土的空隙，有时称作填料。沥青混合料的矿粉必须采用石灰岩或岩浆岩中的强基性岩石等憎水性石料经磨细得到的矿粉，本项目矿粉粒度范围＜0.075mm。</w:t>
            </w:r>
          </w:p>
          <w:p>
            <w:pPr>
              <w:pStyle w:val="2"/>
              <w:ind w:firstLine="480"/>
              <w:rPr>
                <w:color w:val="auto"/>
                <w:kern w:val="0"/>
                <w:sz w:val="24"/>
              </w:rPr>
            </w:pPr>
            <w:r>
              <w:rPr>
                <w:color w:val="auto"/>
                <w:kern w:val="0"/>
                <w:sz w:val="24"/>
              </w:rPr>
              <w:t>（4）重油</w:t>
            </w:r>
          </w:p>
          <w:p>
            <w:pPr>
              <w:ind w:firstLine="480"/>
              <w:rPr>
                <w:color w:val="auto"/>
                <w:kern w:val="0"/>
              </w:rPr>
            </w:pPr>
            <w:r>
              <w:rPr>
                <w:color w:val="auto"/>
                <w:kern w:val="0"/>
              </w:rPr>
              <w:t>重油，黑褐色粘稠状可燃性液体，密度（15℃）密度为 0.89～0.92g/cm</w:t>
            </w:r>
            <w:r>
              <w:rPr>
                <w:color w:val="auto"/>
                <w:kern w:val="0"/>
                <w:vertAlign w:val="superscript"/>
              </w:rPr>
              <w:t>3</w:t>
            </w:r>
            <w:r>
              <w:rPr>
                <w:color w:val="auto"/>
                <w:kern w:val="0"/>
              </w:rPr>
              <w:t>，闪点（闭口）43～60℃，热值 CAL11000Min，含硫量≤0.8%，主要用于工业燃料，燃烧性能好，发热量大，少水分，更节能，更环保，灰分少。主要用于电力、船舶、锅炉、沥青搅拌站、冶金熔铸、窑炉等领域。</w:t>
            </w:r>
          </w:p>
          <w:p>
            <w:pPr>
              <w:ind w:firstLine="480"/>
              <w:rPr>
                <w:color w:val="auto"/>
                <w:kern w:val="0"/>
              </w:rPr>
            </w:pPr>
            <w:r>
              <w:rPr>
                <w:color w:val="auto"/>
                <w:kern w:val="0"/>
              </w:rPr>
              <w:t>（5）柴油</w:t>
            </w:r>
          </w:p>
          <w:p>
            <w:pPr>
              <w:ind w:firstLine="480"/>
              <w:rPr>
                <w:color w:val="auto"/>
                <w:kern w:val="0"/>
              </w:rPr>
            </w:pPr>
            <w:r>
              <w:rPr>
                <w:color w:val="auto"/>
                <w:kern w:val="0"/>
              </w:rPr>
              <w:t>柴油为轻质石油产品，复杂烃类（碳原子数约 10～22）混合物，主要由原油蒸馏、催化裂化、热裂化、加氢裂化、石油焦化等过程生产的柴油馏分调配而成，也可由页岩油加工和煤液化制取，分为轻柴油（沸点范围约 200～350℃）和重柴油（沸点范围约 350～410℃）两大类。广泛用于大型车辆、铁路机车、船舰。0#柴油一般外观为淡黄色液体，较透明清澈、无杂质，闪点（闭口）45～55℃，常温下密度为 0.82～0.85g/cm</w:t>
            </w:r>
            <w:r>
              <w:rPr>
                <w:color w:val="auto"/>
                <w:kern w:val="0"/>
                <w:vertAlign w:val="superscript"/>
              </w:rPr>
              <w:t>3</w:t>
            </w:r>
            <w:r>
              <w:rPr>
                <w:color w:val="auto"/>
                <w:kern w:val="0"/>
              </w:rPr>
              <w:t>。本项目使用 0#柴油符合《轻柴油质量标准》（GB252-2000），含硫量≤0.2%。</w:t>
            </w:r>
          </w:p>
          <w:p>
            <w:pPr>
              <w:numPr>
                <w:ilvl w:val="0"/>
                <w:numId w:val="4"/>
              </w:numPr>
              <w:ind w:firstLine="480"/>
              <w:rPr>
                <w:color w:val="auto"/>
              </w:rPr>
            </w:pPr>
            <w:r>
              <w:rPr>
                <w:color w:val="auto"/>
              </w:rPr>
              <w:t xml:space="preserve">导热油：项目导热油炉需要使用导热油，导热油是用于间接传递热量的一类热稳定性较好的专用油品。导热油在许用温度范围内，热稳定性较好，结焦少，使用寿命较长，导热性能、流动性能及可泵性能良好；不腐蚀设备，对环境影响很小。根据设备作业环境，建议选择适宜的低温性能的导热油，导热油在导热油炉中循环使用，每年只需要补充少量的导热油。 </w:t>
            </w:r>
          </w:p>
          <w:p>
            <w:pPr>
              <w:ind w:firstLine="480"/>
              <w:rPr>
                <w:color w:val="auto"/>
              </w:rPr>
            </w:pPr>
            <w:r>
              <w:rPr>
                <w:rFonts w:hint="eastAsia"/>
                <w:color w:val="auto"/>
              </w:rPr>
              <w:t>（7）减水剂剂：本项目使用的外加剂主要是</w:t>
            </w:r>
            <w:r>
              <w:rPr>
                <w:color w:val="auto"/>
              </w:rPr>
              <w:t>CR-P200-01</w:t>
            </w:r>
            <w:r>
              <w:rPr>
                <w:rFonts w:hint="eastAsia"/>
                <w:color w:val="auto"/>
              </w:rPr>
              <w:t>聚羧酸高效减水剂。高效减水剂又称超塑化剂，它是一种减水率高，缓凝和引气作用极小的混凝土外加剂。以磺酸基为主要官能团的高效减水剂包括：改性木质素磺酸盐系</w:t>
            </w:r>
            <w:r>
              <w:rPr>
                <w:color w:val="auto"/>
              </w:rPr>
              <w:t>(MLS)</w:t>
            </w:r>
            <w:r>
              <w:rPr>
                <w:rFonts w:hint="eastAsia"/>
                <w:color w:val="auto"/>
              </w:rPr>
              <w:t>、萘系</w:t>
            </w:r>
            <w:r>
              <w:rPr>
                <w:color w:val="auto"/>
              </w:rPr>
              <w:t>(NSF)</w:t>
            </w:r>
            <w:r>
              <w:rPr>
                <w:rFonts w:hint="eastAsia"/>
                <w:color w:val="auto"/>
              </w:rPr>
              <w:t>、三聚氰胺系</w:t>
            </w:r>
            <w:r>
              <w:rPr>
                <w:color w:val="auto"/>
              </w:rPr>
              <w:t>(MSF)</w:t>
            </w:r>
            <w:r>
              <w:rPr>
                <w:rFonts w:hint="eastAsia"/>
                <w:color w:val="auto"/>
              </w:rPr>
              <w:t>、氨基磺酸系</w:t>
            </w:r>
            <w:r>
              <w:rPr>
                <w:color w:val="auto"/>
              </w:rPr>
              <w:t>(ASF)</w:t>
            </w:r>
            <w:r>
              <w:rPr>
                <w:rFonts w:hint="eastAsia"/>
                <w:color w:val="auto"/>
              </w:rPr>
              <w:t>等，它们分子结构单元中都含有磺酸基，最佳的分子结构一般为线型的主链，并同时有多个长支链，主要通过缩合反应得到。混凝土减水剂对混凝土的作用主要只是表面活性作用。减水剂本身并不与水泥产生化学反应。</w:t>
            </w:r>
          </w:p>
          <w:p>
            <w:pPr>
              <w:pStyle w:val="4"/>
              <w:rPr>
                <w:color w:val="auto"/>
              </w:rPr>
            </w:pPr>
            <w:r>
              <w:rPr>
                <w:rFonts w:hint="eastAsia"/>
                <w:color w:val="auto"/>
              </w:rPr>
              <w:t>4</w:t>
            </w:r>
            <w:r>
              <w:rPr>
                <w:color w:val="auto"/>
              </w:rPr>
              <w:t>主要生产设备</w:t>
            </w:r>
          </w:p>
          <w:p>
            <w:pPr>
              <w:ind w:firstLine="480"/>
              <w:rPr>
                <w:color w:val="auto"/>
              </w:rPr>
            </w:pPr>
            <w:r>
              <w:rPr>
                <w:rFonts w:hint="eastAsia"/>
                <w:color w:val="auto"/>
              </w:rPr>
              <w:t>项目主要设备及其规格、数量详见表2-4。</w:t>
            </w:r>
          </w:p>
          <w:p>
            <w:pPr>
              <w:ind w:firstLine="482"/>
              <w:jc w:val="center"/>
              <w:rPr>
                <w:rFonts w:hint="eastAsia" w:ascii="宋体" w:hAnsi="宋体" w:cs="宋体"/>
                <w:b/>
                <w:bCs/>
                <w:color w:val="auto"/>
              </w:rPr>
            </w:pPr>
            <w:r>
              <w:rPr>
                <w:rFonts w:hint="eastAsia" w:ascii="宋体" w:hAnsi="宋体" w:cs="宋体"/>
                <w:b/>
                <w:bCs/>
                <w:color w:val="auto"/>
              </w:rPr>
              <w:t>表2-4   主要生产设备一览表</w:t>
            </w:r>
          </w:p>
          <w:tbl>
            <w:tblPr>
              <w:tblStyle w:val="31"/>
              <w:tblW w:w="4998" w:type="pct"/>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758"/>
              <w:gridCol w:w="2861"/>
              <w:gridCol w:w="1486"/>
              <w:gridCol w:w="1421"/>
              <w:gridCol w:w="1841"/>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64" w:hRule="exact"/>
                <w:tblHeader/>
                <w:jc w:val="center"/>
              </w:trPr>
              <w:tc>
                <w:tcPr>
                  <w:tcW w:w="453" w:type="pct"/>
                  <w:tcBorders>
                    <w:tl2br w:val="nil"/>
                    <w:tr2bl w:val="nil"/>
                  </w:tcBorders>
                  <w:vAlign w:val="center"/>
                </w:tcPr>
                <w:p>
                  <w:pPr>
                    <w:ind w:firstLine="0" w:firstLineChars="0"/>
                    <w:jc w:val="center"/>
                    <w:rPr>
                      <w:rFonts w:hint="eastAsia" w:ascii="宋体" w:hAnsi="宋体" w:cs="宋体"/>
                      <w:b/>
                      <w:bCs/>
                      <w:color w:val="auto"/>
                      <w:sz w:val="21"/>
                      <w:szCs w:val="21"/>
                    </w:rPr>
                  </w:pPr>
                  <w:r>
                    <w:rPr>
                      <w:rFonts w:hint="eastAsia" w:ascii="宋体" w:hAnsi="宋体" w:cs="宋体"/>
                      <w:b/>
                      <w:bCs/>
                      <w:color w:val="auto"/>
                      <w:sz w:val="21"/>
                      <w:szCs w:val="21"/>
                    </w:rPr>
                    <w:t>序号</w:t>
                  </w:r>
                </w:p>
              </w:tc>
              <w:tc>
                <w:tcPr>
                  <w:tcW w:w="1709" w:type="pct"/>
                  <w:tcBorders>
                    <w:tl2br w:val="nil"/>
                    <w:tr2bl w:val="nil"/>
                  </w:tcBorders>
                  <w:vAlign w:val="center"/>
                </w:tcPr>
                <w:p>
                  <w:pPr>
                    <w:ind w:firstLine="0" w:firstLineChars="0"/>
                    <w:jc w:val="center"/>
                    <w:rPr>
                      <w:rFonts w:hint="eastAsia" w:ascii="宋体" w:hAnsi="宋体" w:cs="宋体"/>
                      <w:b/>
                      <w:bCs/>
                      <w:color w:val="auto"/>
                      <w:sz w:val="21"/>
                      <w:szCs w:val="21"/>
                    </w:rPr>
                  </w:pPr>
                  <w:r>
                    <w:rPr>
                      <w:rFonts w:hint="eastAsia" w:ascii="宋体" w:hAnsi="宋体" w:cs="宋体"/>
                      <w:b/>
                      <w:bCs/>
                      <w:color w:val="auto"/>
                      <w:sz w:val="21"/>
                      <w:szCs w:val="21"/>
                    </w:rPr>
                    <w:t>部件名称</w:t>
                  </w:r>
                </w:p>
              </w:tc>
              <w:tc>
                <w:tcPr>
                  <w:tcW w:w="888" w:type="pct"/>
                  <w:tcBorders>
                    <w:tl2br w:val="nil"/>
                    <w:tr2bl w:val="nil"/>
                  </w:tcBorders>
                  <w:vAlign w:val="center"/>
                </w:tcPr>
                <w:p>
                  <w:pPr>
                    <w:ind w:firstLine="0" w:firstLineChars="0"/>
                    <w:jc w:val="center"/>
                    <w:rPr>
                      <w:rFonts w:hint="eastAsia" w:ascii="宋体" w:hAnsi="宋体" w:cs="宋体"/>
                      <w:b/>
                      <w:bCs/>
                      <w:color w:val="auto"/>
                      <w:sz w:val="21"/>
                      <w:szCs w:val="21"/>
                    </w:rPr>
                  </w:pPr>
                  <w:r>
                    <w:rPr>
                      <w:rFonts w:hint="eastAsia" w:ascii="宋体" w:hAnsi="宋体" w:cs="宋体"/>
                      <w:b/>
                      <w:bCs/>
                      <w:color w:val="auto"/>
                      <w:sz w:val="21"/>
                      <w:szCs w:val="21"/>
                    </w:rPr>
                    <w:t>数量</w:t>
                  </w:r>
                </w:p>
              </w:tc>
              <w:tc>
                <w:tcPr>
                  <w:tcW w:w="849" w:type="pct"/>
                  <w:tcBorders>
                    <w:tl2br w:val="nil"/>
                    <w:tr2bl w:val="nil"/>
                  </w:tcBorders>
                  <w:vAlign w:val="center"/>
                </w:tcPr>
                <w:p>
                  <w:pPr>
                    <w:ind w:firstLine="0" w:firstLineChars="0"/>
                    <w:jc w:val="center"/>
                    <w:rPr>
                      <w:rFonts w:hint="eastAsia" w:ascii="宋体" w:hAnsi="宋体" w:cs="宋体"/>
                      <w:b/>
                      <w:bCs/>
                      <w:color w:val="auto"/>
                      <w:sz w:val="21"/>
                      <w:szCs w:val="21"/>
                    </w:rPr>
                  </w:pPr>
                  <w:r>
                    <w:rPr>
                      <w:rFonts w:hint="eastAsia" w:ascii="宋体" w:hAnsi="宋体" w:cs="宋体"/>
                      <w:b/>
                      <w:bCs/>
                      <w:color w:val="auto"/>
                      <w:sz w:val="21"/>
                      <w:szCs w:val="21"/>
                    </w:rPr>
                    <w:t>规格</w:t>
                  </w:r>
                </w:p>
              </w:tc>
              <w:tc>
                <w:tcPr>
                  <w:tcW w:w="1099" w:type="pct"/>
                  <w:tcBorders>
                    <w:tl2br w:val="nil"/>
                    <w:tr2bl w:val="nil"/>
                  </w:tcBorders>
                  <w:vAlign w:val="center"/>
                </w:tcPr>
                <w:p>
                  <w:pPr>
                    <w:ind w:firstLine="0" w:firstLineChars="0"/>
                    <w:jc w:val="center"/>
                    <w:rPr>
                      <w:rFonts w:hint="eastAsia" w:ascii="宋体" w:hAnsi="宋体" w:cs="宋体"/>
                      <w:b/>
                      <w:bCs/>
                      <w:color w:val="auto"/>
                      <w:sz w:val="21"/>
                      <w:szCs w:val="21"/>
                    </w:rPr>
                  </w:pPr>
                  <w:r>
                    <w:rPr>
                      <w:rFonts w:hint="eastAsia" w:ascii="宋体" w:hAnsi="宋体" w:cs="宋体"/>
                      <w:b/>
                      <w:bCs/>
                      <w:color w:val="auto"/>
                      <w:sz w:val="21"/>
                      <w:szCs w:val="21"/>
                    </w:rPr>
                    <w:t>备注</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74" w:hRule="exact"/>
                <w:jc w:val="center"/>
              </w:trPr>
              <w:tc>
                <w:tcPr>
                  <w:tcW w:w="453"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一</w:t>
                  </w:r>
                </w:p>
              </w:tc>
              <w:tc>
                <w:tcPr>
                  <w:tcW w:w="4546" w:type="pct"/>
                  <w:gridSpan w:val="4"/>
                  <w:tcBorders>
                    <w:tl2br w:val="nil"/>
                    <w:tr2bl w:val="nil"/>
                  </w:tcBorders>
                  <w:vAlign w:val="center"/>
                </w:tcPr>
                <w:p>
                  <w:pPr>
                    <w:ind w:firstLine="0" w:firstLineChars="0"/>
                    <w:rPr>
                      <w:rFonts w:hint="eastAsia" w:ascii="宋体" w:hAnsi="宋体" w:cs="宋体"/>
                      <w:color w:val="auto"/>
                      <w:sz w:val="21"/>
                      <w:szCs w:val="21"/>
                    </w:rPr>
                  </w:pPr>
                  <w:r>
                    <w:rPr>
                      <w:rFonts w:hint="eastAsia" w:ascii="宋体" w:hAnsi="宋体" w:cs="宋体"/>
                      <w:b/>
                      <w:bCs/>
                      <w:color w:val="auto"/>
                      <w:sz w:val="21"/>
                      <w:szCs w:val="21"/>
                    </w:rPr>
                    <w:t>HGC-4000型工厂式沥青混合料搅拌</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1" w:hRule="exact"/>
                <w:jc w:val="center"/>
              </w:trPr>
              <w:tc>
                <w:tcPr>
                  <w:tcW w:w="453"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1</w:t>
                  </w:r>
                </w:p>
              </w:tc>
              <w:tc>
                <w:tcPr>
                  <w:tcW w:w="1709"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上料系统</w:t>
                  </w:r>
                </w:p>
              </w:tc>
              <w:tc>
                <w:tcPr>
                  <w:tcW w:w="888"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1套</w:t>
                  </w:r>
                </w:p>
              </w:tc>
              <w:tc>
                <w:tcPr>
                  <w:tcW w:w="849" w:type="pct"/>
                  <w:tcBorders>
                    <w:tl2br w:val="nil"/>
                    <w:tr2bl w:val="nil"/>
                  </w:tcBorders>
                  <w:vAlign w:val="center"/>
                </w:tcPr>
                <w:p>
                  <w:pPr>
                    <w:ind w:firstLine="0" w:firstLineChars="0"/>
                    <w:jc w:val="center"/>
                    <w:rPr>
                      <w:rFonts w:hint="eastAsia" w:ascii="宋体" w:hAnsi="宋体" w:cs="宋体"/>
                      <w:color w:val="auto"/>
                      <w:sz w:val="21"/>
                      <w:szCs w:val="21"/>
                    </w:rPr>
                  </w:pPr>
                </w:p>
              </w:tc>
              <w:tc>
                <w:tcPr>
                  <w:tcW w:w="1099" w:type="pct"/>
                  <w:tcBorders>
                    <w:tl2br w:val="nil"/>
                    <w:tr2bl w:val="nil"/>
                  </w:tcBorders>
                  <w:vAlign w:val="center"/>
                </w:tcPr>
                <w:p>
                  <w:pPr>
                    <w:ind w:firstLine="0" w:firstLineChars="0"/>
                    <w:jc w:val="center"/>
                    <w:rPr>
                      <w:rFonts w:hint="eastAsia" w:ascii="宋体" w:hAnsi="宋体" w:cs="宋体"/>
                      <w:color w:val="auto"/>
                      <w:sz w:val="21"/>
                      <w:szCs w:val="21"/>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7" w:hRule="exact"/>
                <w:jc w:val="center"/>
              </w:trPr>
              <w:tc>
                <w:tcPr>
                  <w:tcW w:w="453"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2</w:t>
                  </w:r>
                </w:p>
              </w:tc>
              <w:tc>
                <w:tcPr>
                  <w:tcW w:w="1709"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烘干滚筒</w:t>
                  </w:r>
                </w:p>
              </w:tc>
              <w:tc>
                <w:tcPr>
                  <w:tcW w:w="888"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1套</w:t>
                  </w:r>
                </w:p>
              </w:tc>
              <w:tc>
                <w:tcPr>
                  <w:tcW w:w="849" w:type="pct"/>
                  <w:tcBorders>
                    <w:tl2br w:val="nil"/>
                    <w:tr2bl w:val="nil"/>
                  </w:tcBorders>
                  <w:vAlign w:val="center"/>
                </w:tcPr>
                <w:p>
                  <w:pPr>
                    <w:widowControl/>
                    <w:ind w:firstLine="0" w:firstLineChars="0"/>
                    <w:jc w:val="center"/>
                    <w:rPr>
                      <w:rFonts w:hint="eastAsia" w:ascii="宋体" w:hAnsi="宋体" w:cs="宋体"/>
                      <w:color w:val="auto"/>
                      <w:sz w:val="21"/>
                      <w:szCs w:val="21"/>
                    </w:rPr>
                  </w:pPr>
                  <w:r>
                    <w:rPr>
                      <w:rFonts w:hint="eastAsia" w:ascii="宋体" w:hAnsi="宋体" w:cs="宋体"/>
                      <w:color w:val="auto"/>
                      <w:kern w:val="0"/>
                      <w:sz w:val="21"/>
                      <w:szCs w:val="21"/>
                      <w:lang w:bidi="ar"/>
                    </w:rPr>
                    <w:t>XN-4000型</w:t>
                  </w:r>
                </w:p>
                <w:p>
                  <w:pPr>
                    <w:ind w:firstLine="0" w:firstLineChars="0"/>
                    <w:jc w:val="center"/>
                    <w:rPr>
                      <w:rFonts w:hint="eastAsia" w:ascii="宋体" w:hAnsi="宋体" w:cs="宋体"/>
                      <w:color w:val="auto"/>
                      <w:sz w:val="21"/>
                      <w:szCs w:val="21"/>
                    </w:rPr>
                  </w:pPr>
                </w:p>
              </w:tc>
              <w:tc>
                <w:tcPr>
                  <w:tcW w:w="1099"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重油燃烧</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84" w:hRule="exact"/>
                <w:jc w:val="center"/>
              </w:trPr>
              <w:tc>
                <w:tcPr>
                  <w:tcW w:w="453"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3</w:t>
                  </w:r>
                </w:p>
              </w:tc>
              <w:tc>
                <w:tcPr>
                  <w:tcW w:w="1709"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提升机</w:t>
                  </w:r>
                </w:p>
              </w:tc>
              <w:tc>
                <w:tcPr>
                  <w:tcW w:w="888"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4台</w:t>
                  </w:r>
                </w:p>
              </w:tc>
              <w:tc>
                <w:tcPr>
                  <w:tcW w:w="849" w:type="pct"/>
                  <w:tcBorders>
                    <w:tl2br w:val="nil"/>
                    <w:tr2bl w:val="nil"/>
                  </w:tcBorders>
                  <w:vAlign w:val="center"/>
                </w:tcPr>
                <w:p>
                  <w:pPr>
                    <w:ind w:firstLine="0" w:firstLineChars="0"/>
                    <w:jc w:val="center"/>
                    <w:rPr>
                      <w:rFonts w:hint="eastAsia" w:ascii="宋体" w:hAnsi="宋体" w:cs="宋体"/>
                      <w:color w:val="auto"/>
                      <w:sz w:val="21"/>
                      <w:szCs w:val="21"/>
                    </w:rPr>
                  </w:pPr>
                </w:p>
              </w:tc>
              <w:tc>
                <w:tcPr>
                  <w:tcW w:w="1099" w:type="pct"/>
                  <w:tcBorders>
                    <w:tl2br w:val="nil"/>
                    <w:tr2bl w:val="nil"/>
                  </w:tcBorders>
                  <w:vAlign w:val="center"/>
                </w:tcPr>
                <w:p>
                  <w:pPr>
                    <w:ind w:firstLine="0" w:firstLineChars="0"/>
                    <w:jc w:val="center"/>
                    <w:rPr>
                      <w:rFonts w:hint="eastAsia" w:ascii="宋体" w:hAnsi="宋体" w:cs="宋体"/>
                      <w:color w:val="auto"/>
                      <w:sz w:val="21"/>
                      <w:szCs w:val="21"/>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39" w:hRule="exact"/>
                <w:jc w:val="center"/>
              </w:trPr>
              <w:tc>
                <w:tcPr>
                  <w:tcW w:w="453"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4</w:t>
                  </w:r>
                </w:p>
              </w:tc>
              <w:tc>
                <w:tcPr>
                  <w:tcW w:w="1709"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振动筛</w:t>
                  </w:r>
                </w:p>
              </w:tc>
              <w:tc>
                <w:tcPr>
                  <w:tcW w:w="888"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1台</w:t>
                  </w:r>
                </w:p>
              </w:tc>
              <w:tc>
                <w:tcPr>
                  <w:tcW w:w="849" w:type="pct"/>
                  <w:tcBorders>
                    <w:tl2br w:val="nil"/>
                    <w:tr2bl w:val="nil"/>
                  </w:tcBorders>
                  <w:vAlign w:val="center"/>
                </w:tcPr>
                <w:p>
                  <w:pPr>
                    <w:ind w:firstLine="0" w:firstLineChars="0"/>
                    <w:jc w:val="center"/>
                    <w:rPr>
                      <w:rFonts w:hint="eastAsia" w:ascii="宋体" w:hAnsi="宋体" w:cs="宋体"/>
                      <w:color w:val="auto"/>
                      <w:sz w:val="21"/>
                      <w:szCs w:val="21"/>
                    </w:rPr>
                  </w:pPr>
                </w:p>
              </w:tc>
              <w:tc>
                <w:tcPr>
                  <w:tcW w:w="1099" w:type="pct"/>
                  <w:tcBorders>
                    <w:tl2br w:val="nil"/>
                    <w:tr2bl w:val="nil"/>
                  </w:tcBorders>
                  <w:vAlign w:val="center"/>
                </w:tcPr>
                <w:p>
                  <w:pPr>
                    <w:ind w:firstLine="0" w:firstLineChars="0"/>
                    <w:jc w:val="center"/>
                    <w:rPr>
                      <w:rFonts w:hint="eastAsia" w:ascii="宋体" w:hAnsi="宋体" w:cs="宋体"/>
                      <w:color w:val="auto"/>
                      <w:sz w:val="21"/>
                      <w:szCs w:val="21"/>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16" w:hRule="exact"/>
                <w:jc w:val="center"/>
              </w:trPr>
              <w:tc>
                <w:tcPr>
                  <w:tcW w:w="453"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5</w:t>
                  </w:r>
                </w:p>
              </w:tc>
              <w:tc>
                <w:tcPr>
                  <w:tcW w:w="1709"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搅拌系统</w:t>
                  </w:r>
                </w:p>
              </w:tc>
              <w:tc>
                <w:tcPr>
                  <w:tcW w:w="888"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1套</w:t>
                  </w:r>
                </w:p>
              </w:tc>
              <w:tc>
                <w:tcPr>
                  <w:tcW w:w="849" w:type="pct"/>
                  <w:tcBorders>
                    <w:tl2br w:val="nil"/>
                    <w:tr2bl w:val="nil"/>
                  </w:tcBorders>
                  <w:vAlign w:val="center"/>
                </w:tcPr>
                <w:p>
                  <w:pPr>
                    <w:ind w:firstLine="0" w:firstLineChars="0"/>
                    <w:jc w:val="center"/>
                    <w:rPr>
                      <w:rFonts w:hint="eastAsia" w:ascii="宋体" w:hAnsi="宋体" w:cs="宋体"/>
                      <w:color w:val="auto"/>
                      <w:sz w:val="21"/>
                      <w:szCs w:val="21"/>
                    </w:rPr>
                  </w:pPr>
                </w:p>
              </w:tc>
              <w:tc>
                <w:tcPr>
                  <w:tcW w:w="1099" w:type="pct"/>
                  <w:tcBorders>
                    <w:tl2br w:val="nil"/>
                    <w:tr2bl w:val="nil"/>
                  </w:tcBorders>
                  <w:vAlign w:val="center"/>
                </w:tcPr>
                <w:p>
                  <w:pPr>
                    <w:ind w:firstLine="0" w:firstLineChars="0"/>
                    <w:jc w:val="center"/>
                    <w:rPr>
                      <w:rFonts w:hint="eastAsia" w:ascii="宋体" w:hAnsi="宋体" w:cs="宋体"/>
                      <w:color w:val="auto"/>
                      <w:sz w:val="21"/>
                      <w:szCs w:val="21"/>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05" w:hRule="exact"/>
                <w:jc w:val="center"/>
              </w:trPr>
              <w:tc>
                <w:tcPr>
                  <w:tcW w:w="453"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6</w:t>
                  </w:r>
                </w:p>
              </w:tc>
              <w:tc>
                <w:tcPr>
                  <w:tcW w:w="1709"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沥青加热系统</w:t>
                  </w:r>
                </w:p>
              </w:tc>
              <w:tc>
                <w:tcPr>
                  <w:tcW w:w="888"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1套</w:t>
                  </w:r>
                </w:p>
              </w:tc>
              <w:tc>
                <w:tcPr>
                  <w:tcW w:w="849" w:type="pct"/>
                  <w:tcBorders>
                    <w:tl2br w:val="nil"/>
                    <w:tr2bl w:val="nil"/>
                  </w:tcBorders>
                  <w:vAlign w:val="center"/>
                </w:tcPr>
                <w:p>
                  <w:pPr>
                    <w:ind w:firstLine="0" w:firstLineChars="0"/>
                    <w:jc w:val="center"/>
                    <w:rPr>
                      <w:rFonts w:hint="eastAsia" w:ascii="宋体" w:hAnsi="宋体" w:cs="宋体"/>
                      <w:color w:val="auto"/>
                      <w:sz w:val="21"/>
                      <w:szCs w:val="21"/>
                    </w:rPr>
                  </w:pPr>
                </w:p>
              </w:tc>
              <w:tc>
                <w:tcPr>
                  <w:tcW w:w="1099"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柴油燃烧</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38" w:hRule="exact"/>
                <w:jc w:val="center"/>
              </w:trPr>
              <w:tc>
                <w:tcPr>
                  <w:tcW w:w="453"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7</w:t>
                  </w:r>
                </w:p>
              </w:tc>
              <w:tc>
                <w:tcPr>
                  <w:tcW w:w="1709"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沥青储罐</w:t>
                  </w:r>
                </w:p>
              </w:tc>
              <w:tc>
                <w:tcPr>
                  <w:tcW w:w="888"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3个</w:t>
                  </w:r>
                </w:p>
              </w:tc>
              <w:tc>
                <w:tcPr>
                  <w:tcW w:w="849" w:type="pct"/>
                  <w:tcBorders>
                    <w:tl2br w:val="nil"/>
                    <w:tr2bl w:val="nil"/>
                  </w:tcBorders>
                  <w:vAlign w:val="center"/>
                </w:tcPr>
                <w:p>
                  <w:pPr>
                    <w:ind w:firstLine="0" w:firstLineChars="0"/>
                    <w:jc w:val="center"/>
                    <w:rPr>
                      <w:rFonts w:hint="eastAsia" w:ascii="宋体" w:hAnsi="宋体" w:cs="宋体"/>
                      <w:color w:val="auto"/>
                      <w:sz w:val="21"/>
                      <w:szCs w:val="21"/>
                    </w:rPr>
                  </w:pPr>
                  <w:r>
                    <w:rPr>
                      <w:color w:val="auto"/>
                      <w:sz w:val="21"/>
                      <w:szCs w:val="21"/>
                    </w:rPr>
                    <w:t>50m</w:t>
                  </w:r>
                  <w:r>
                    <w:rPr>
                      <w:color w:val="auto"/>
                      <w:sz w:val="21"/>
                      <w:szCs w:val="21"/>
                      <w:vertAlign w:val="superscript"/>
                    </w:rPr>
                    <w:t>3</w:t>
                  </w:r>
                </w:p>
              </w:tc>
              <w:tc>
                <w:tcPr>
                  <w:tcW w:w="1099"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两用一备</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38" w:hRule="exact"/>
                <w:jc w:val="center"/>
              </w:trPr>
              <w:tc>
                <w:tcPr>
                  <w:tcW w:w="453"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8</w:t>
                  </w:r>
                </w:p>
              </w:tc>
              <w:tc>
                <w:tcPr>
                  <w:tcW w:w="1709"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柴油罐</w:t>
                  </w:r>
                </w:p>
              </w:tc>
              <w:tc>
                <w:tcPr>
                  <w:tcW w:w="888"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1个</w:t>
                  </w:r>
                </w:p>
              </w:tc>
              <w:tc>
                <w:tcPr>
                  <w:tcW w:w="849" w:type="pct"/>
                  <w:tcBorders>
                    <w:tl2br w:val="nil"/>
                    <w:tr2bl w:val="nil"/>
                  </w:tcBorders>
                  <w:vAlign w:val="center"/>
                </w:tcPr>
                <w:p>
                  <w:pPr>
                    <w:ind w:firstLine="0" w:firstLineChars="0"/>
                    <w:jc w:val="center"/>
                    <w:rPr>
                      <w:color w:val="auto"/>
                      <w:sz w:val="21"/>
                      <w:szCs w:val="21"/>
                    </w:rPr>
                  </w:pPr>
                  <w:r>
                    <w:rPr>
                      <w:color w:val="auto"/>
                      <w:sz w:val="21"/>
                      <w:szCs w:val="21"/>
                    </w:rPr>
                    <w:t>50m</w:t>
                  </w:r>
                  <w:r>
                    <w:rPr>
                      <w:color w:val="auto"/>
                      <w:sz w:val="21"/>
                      <w:szCs w:val="21"/>
                      <w:vertAlign w:val="superscript"/>
                    </w:rPr>
                    <w:t>3</w:t>
                  </w:r>
                </w:p>
              </w:tc>
              <w:tc>
                <w:tcPr>
                  <w:tcW w:w="1099"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用作导热油锅炉</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38" w:hRule="exact"/>
                <w:jc w:val="center"/>
              </w:trPr>
              <w:tc>
                <w:tcPr>
                  <w:tcW w:w="453"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9</w:t>
                  </w:r>
                </w:p>
              </w:tc>
              <w:tc>
                <w:tcPr>
                  <w:tcW w:w="1709"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重油罐</w:t>
                  </w:r>
                </w:p>
              </w:tc>
              <w:tc>
                <w:tcPr>
                  <w:tcW w:w="888"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2个</w:t>
                  </w:r>
                </w:p>
              </w:tc>
              <w:tc>
                <w:tcPr>
                  <w:tcW w:w="849" w:type="pct"/>
                  <w:tcBorders>
                    <w:tl2br w:val="nil"/>
                    <w:tr2bl w:val="nil"/>
                  </w:tcBorders>
                  <w:vAlign w:val="center"/>
                </w:tcPr>
                <w:p>
                  <w:pPr>
                    <w:ind w:firstLine="0" w:firstLineChars="0"/>
                    <w:jc w:val="center"/>
                    <w:rPr>
                      <w:color w:val="auto"/>
                      <w:sz w:val="21"/>
                      <w:szCs w:val="21"/>
                    </w:rPr>
                  </w:pPr>
                  <w:r>
                    <w:rPr>
                      <w:color w:val="auto"/>
                      <w:sz w:val="21"/>
                      <w:szCs w:val="21"/>
                    </w:rPr>
                    <w:t>50m</w:t>
                  </w:r>
                  <w:r>
                    <w:rPr>
                      <w:color w:val="auto"/>
                      <w:sz w:val="21"/>
                      <w:szCs w:val="21"/>
                      <w:vertAlign w:val="superscript"/>
                    </w:rPr>
                    <w:t>3</w:t>
                  </w:r>
                </w:p>
              </w:tc>
              <w:tc>
                <w:tcPr>
                  <w:tcW w:w="1099"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用于骨料烘干</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38" w:hRule="exact"/>
                <w:jc w:val="center"/>
              </w:trPr>
              <w:tc>
                <w:tcPr>
                  <w:tcW w:w="453"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10</w:t>
                  </w:r>
                </w:p>
              </w:tc>
              <w:tc>
                <w:tcPr>
                  <w:tcW w:w="1709"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矿粉仓</w:t>
                  </w:r>
                </w:p>
              </w:tc>
              <w:tc>
                <w:tcPr>
                  <w:tcW w:w="888"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1个</w:t>
                  </w:r>
                </w:p>
              </w:tc>
              <w:tc>
                <w:tcPr>
                  <w:tcW w:w="849" w:type="pct"/>
                  <w:tcBorders>
                    <w:tl2br w:val="nil"/>
                    <w:tr2bl w:val="nil"/>
                  </w:tcBorders>
                  <w:vAlign w:val="center"/>
                </w:tcPr>
                <w:p>
                  <w:pPr>
                    <w:ind w:firstLine="0" w:firstLineChars="0"/>
                    <w:jc w:val="center"/>
                    <w:rPr>
                      <w:color w:val="auto"/>
                      <w:sz w:val="21"/>
                      <w:szCs w:val="21"/>
                    </w:rPr>
                  </w:pPr>
                  <w:r>
                    <w:rPr>
                      <w:rFonts w:hint="eastAsia"/>
                      <w:color w:val="auto"/>
                      <w:sz w:val="21"/>
                      <w:szCs w:val="21"/>
                    </w:rPr>
                    <w:t>300t</w:t>
                  </w:r>
                </w:p>
              </w:tc>
              <w:tc>
                <w:tcPr>
                  <w:tcW w:w="1099" w:type="pct"/>
                  <w:tcBorders>
                    <w:tl2br w:val="nil"/>
                    <w:tr2bl w:val="nil"/>
                  </w:tcBorders>
                  <w:vAlign w:val="center"/>
                </w:tcPr>
                <w:p>
                  <w:pPr>
                    <w:ind w:firstLine="0" w:firstLineChars="0"/>
                    <w:jc w:val="center"/>
                    <w:rPr>
                      <w:rFonts w:hint="eastAsia" w:ascii="宋体" w:hAnsi="宋体" w:cs="宋体"/>
                      <w:color w:val="auto"/>
                      <w:sz w:val="21"/>
                      <w:szCs w:val="21"/>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38" w:hRule="exact"/>
                <w:jc w:val="center"/>
              </w:trPr>
              <w:tc>
                <w:tcPr>
                  <w:tcW w:w="453" w:type="pct"/>
                  <w:tcBorders>
                    <w:tl2br w:val="nil"/>
                    <w:tr2bl w:val="nil"/>
                  </w:tcBorders>
                  <w:vAlign w:val="center"/>
                </w:tcPr>
                <w:p>
                  <w:pPr>
                    <w:ind w:firstLine="0" w:firstLineChars="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11</w:t>
                  </w:r>
                </w:p>
              </w:tc>
              <w:tc>
                <w:tcPr>
                  <w:tcW w:w="1709" w:type="pct"/>
                  <w:tcBorders>
                    <w:tl2br w:val="nil"/>
                    <w:tr2bl w:val="nil"/>
                  </w:tcBorders>
                  <w:vAlign w:val="center"/>
                </w:tcPr>
                <w:p>
                  <w:pPr>
                    <w:ind w:firstLine="0" w:firstLineChars="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输送系统</w:t>
                  </w:r>
                </w:p>
              </w:tc>
              <w:tc>
                <w:tcPr>
                  <w:tcW w:w="888" w:type="pct"/>
                  <w:tcBorders>
                    <w:tl2br w:val="nil"/>
                    <w:tr2bl w:val="nil"/>
                  </w:tcBorders>
                  <w:vAlign w:val="center"/>
                </w:tcPr>
                <w:p>
                  <w:pPr>
                    <w:ind w:firstLine="0" w:firstLineChars="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1套</w:t>
                  </w:r>
                </w:p>
              </w:tc>
              <w:tc>
                <w:tcPr>
                  <w:tcW w:w="849" w:type="pct"/>
                  <w:tcBorders>
                    <w:tl2br w:val="nil"/>
                    <w:tr2bl w:val="nil"/>
                  </w:tcBorders>
                  <w:vAlign w:val="center"/>
                </w:tcPr>
                <w:p>
                  <w:pPr>
                    <w:ind w:firstLine="0" w:firstLineChars="0"/>
                    <w:jc w:val="center"/>
                    <w:rPr>
                      <w:rFonts w:hint="eastAsia"/>
                      <w:color w:val="auto"/>
                      <w:sz w:val="21"/>
                      <w:szCs w:val="21"/>
                    </w:rPr>
                  </w:pPr>
                </w:p>
              </w:tc>
              <w:tc>
                <w:tcPr>
                  <w:tcW w:w="1099" w:type="pct"/>
                  <w:tcBorders>
                    <w:tl2br w:val="nil"/>
                    <w:tr2bl w:val="nil"/>
                  </w:tcBorders>
                  <w:vAlign w:val="center"/>
                </w:tcPr>
                <w:p>
                  <w:pPr>
                    <w:ind w:firstLine="0" w:firstLineChars="0"/>
                    <w:jc w:val="center"/>
                    <w:rPr>
                      <w:rFonts w:hint="eastAsia" w:ascii="宋体" w:hAnsi="宋体" w:cs="宋体"/>
                      <w:color w:val="auto"/>
                      <w:sz w:val="21"/>
                      <w:szCs w:val="21"/>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38" w:hRule="exact"/>
                <w:jc w:val="center"/>
              </w:trPr>
              <w:tc>
                <w:tcPr>
                  <w:tcW w:w="453" w:type="pct"/>
                  <w:tcBorders>
                    <w:tl2br w:val="nil"/>
                    <w:tr2bl w:val="nil"/>
                  </w:tcBorders>
                  <w:vAlign w:val="center"/>
                </w:tcPr>
                <w:p>
                  <w:pPr>
                    <w:ind w:firstLine="0" w:firstLineChars="0"/>
                    <w:jc w:val="center"/>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12</w:t>
                  </w:r>
                </w:p>
              </w:tc>
              <w:tc>
                <w:tcPr>
                  <w:tcW w:w="1709" w:type="pct"/>
                  <w:tcBorders>
                    <w:tl2br w:val="nil"/>
                    <w:tr2bl w:val="nil"/>
                  </w:tcBorders>
                  <w:vAlign w:val="center"/>
                </w:tcPr>
                <w:p>
                  <w:pPr>
                    <w:ind w:firstLine="0" w:firstLineChars="0"/>
                    <w:jc w:val="center"/>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冷料仓</w:t>
                  </w:r>
                </w:p>
              </w:tc>
              <w:tc>
                <w:tcPr>
                  <w:tcW w:w="888" w:type="pct"/>
                  <w:tcBorders>
                    <w:tl2br w:val="nil"/>
                    <w:tr2bl w:val="nil"/>
                  </w:tcBorders>
                  <w:vAlign w:val="center"/>
                </w:tcPr>
                <w:p>
                  <w:pPr>
                    <w:ind w:firstLine="0" w:firstLineChars="0"/>
                    <w:jc w:val="center"/>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2个</w:t>
                  </w:r>
                </w:p>
              </w:tc>
              <w:tc>
                <w:tcPr>
                  <w:tcW w:w="849" w:type="pct"/>
                  <w:tcBorders>
                    <w:tl2br w:val="nil"/>
                    <w:tr2bl w:val="nil"/>
                  </w:tcBorders>
                  <w:vAlign w:val="center"/>
                </w:tcPr>
                <w:p>
                  <w:pPr>
                    <w:ind w:firstLine="0" w:firstLineChars="0"/>
                    <w:jc w:val="center"/>
                    <w:rPr>
                      <w:rFonts w:hint="eastAsia"/>
                      <w:color w:val="auto"/>
                      <w:sz w:val="21"/>
                      <w:szCs w:val="21"/>
                    </w:rPr>
                  </w:pPr>
                </w:p>
              </w:tc>
              <w:tc>
                <w:tcPr>
                  <w:tcW w:w="1099" w:type="pct"/>
                  <w:tcBorders>
                    <w:tl2br w:val="nil"/>
                    <w:tr2bl w:val="nil"/>
                  </w:tcBorders>
                  <w:vAlign w:val="center"/>
                </w:tcPr>
                <w:p>
                  <w:pPr>
                    <w:ind w:firstLine="0" w:firstLineChars="0"/>
                    <w:jc w:val="center"/>
                    <w:rPr>
                      <w:rFonts w:hint="eastAsia" w:ascii="宋体" w:hAnsi="宋体" w:cs="宋体"/>
                      <w:color w:val="auto"/>
                      <w:sz w:val="21"/>
                      <w:szCs w:val="21"/>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38" w:hRule="exact"/>
                <w:jc w:val="center"/>
              </w:trPr>
              <w:tc>
                <w:tcPr>
                  <w:tcW w:w="453" w:type="pct"/>
                  <w:tcBorders>
                    <w:tl2br w:val="nil"/>
                    <w:tr2bl w:val="nil"/>
                  </w:tcBorders>
                  <w:vAlign w:val="center"/>
                </w:tcPr>
                <w:p>
                  <w:pPr>
                    <w:ind w:firstLine="0" w:firstLineChars="0"/>
                    <w:jc w:val="center"/>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13</w:t>
                  </w:r>
                </w:p>
              </w:tc>
              <w:tc>
                <w:tcPr>
                  <w:tcW w:w="1709" w:type="pct"/>
                  <w:tcBorders>
                    <w:tl2br w:val="nil"/>
                    <w:tr2bl w:val="nil"/>
                  </w:tcBorders>
                  <w:vAlign w:val="center"/>
                </w:tcPr>
                <w:p>
                  <w:pPr>
                    <w:ind w:firstLine="0" w:firstLineChars="0"/>
                    <w:jc w:val="center"/>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骨料仓库</w:t>
                  </w:r>
                </w:p>
              </w:tc>
              <w:tc>
                <w:tcPr>
                  <w:tcW w:w="888" w:type="pct"/>
                  <w:tcBorders>
                    <w:tl2br w:val="nil"/>
                    <w:tr2bl w:val="nil"/>
                  </w:tcBorders>
                  <w:vAlign w:val="center"/>
                </w:tcPr>
                <w:p>
                  <w:pPr>
                    <w:ind w:firstLine="0" w:firstLineChars="0"/>
                    <w:jc w:val="center"/>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1个</w:t>
                  </w:r>
                </w:p>
              </w:tc>
              <w:tc>
                <w:tcPr>
                  <w:tcW w:w="849" w:type="pct"/>
                  <w:tcBorders>
                    <w:tl2br w:val="nil"/>
                    <w:tr2bl w:val="nil"/>
                  </w:tcBorders>
                  <w:vAlign w:val="center"/>
                </w:tcPr>
                <w:p>
                  <w:pPr>
                    <w:ind w:firstLine="0" w:firstLineChars="0"/>
                    <w:jc w:val="center"/>
                    <w:rPr>
                      <w:rFonts w:hint="default" w:eastAsia="宋体"/>
                      <w:color w:val="auto"/>
                      <w:sz w:val="21"/>
                      <w:szCs w:val="21"/>
                      <w:lang w:val="en-US" w:eastAsia="zh-CN"/>
                    </w:rPr>
                  </w:pPr>
                  <w:r>
                    <w:rPr>
                      <w:rFonts w:hint="eastAsia"/>
                      <w:color w:val="auto"/>
                      <w:sz w:val="21"/>
                      <w:szCs w:val="21"/>
                      <w:lang w:val="en-US" w:eastAsia="zh-CN"/>
                    </w:rPr>
                    <w:t>1200m</w:t>
                  </w:r>
                  <w:r>
                    <w:rPr>
                      <w:rFonts w:hint="eastAsia"/>
                      <w:color w:val="auto"/>
                      <w:sz w:val="21"/>
                      <w:szCs w:val="21"/>
                      <w:vertAlign w:val="superscript"/>
                      <w:lang w:val="en-US" w:eastAsia="zh-CN"/>
                    </w:rPr>
                    <w:t>2</w:t>
                  </w:r>
                </w:p>
              </w:tc>
              <w:tc>
                <w:tcPr>
                  <w:tcW w:w="1099" w:type="pct"/>
                  <w:tcBorders>
                    <w:tl2br w:val="nil"/>
                    <w:tr2bl w:val="nil"/>
                  </w:tcBorders>
                  <w:vAlign w:val="center"/>
                </w:tcPr>
                <w:p>
                  <w:pPr>
                    <w:ind w:firstLine="0" w:firstLineChars="0"/>
                    <w:jc w:val="center"/>
                    <w:rPr>
                      <w:rFonts w:hint="eastAsia" w:ascii="宋体" w:hAnsi="宋体" w:cs="宋体"/>
                      <w:color w:val="auto"/>
                      <w:sz w:val="21"/>
                      <w:szCs w:val="21"/>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57" w:hRule="exact"/>
                <w:jc w:val="center"/>
              </w:trPr>
              <w:tc>
                <w:tcPr>
                  <w:tcW w:w="453"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二</w:t>
                  </w:r>
                </w:p>
              </w:tc>
              <w:tc>
                <w:tcPr>
                  <w:tcW w:w="4546" w:type="pct"/>
                  <w:gridSpan w:val="4"/>
                  <w:tcBorders>
                    <w:tl2br w:val="nil"/>
                    <w:tr2bl w:val="nil"/>
                  </w:tcBorders>
                  <w:vAlign w:val="center"/>
                </w:tcPr>
                <w:p>
                  <w:pPr>
                    <w:ind w:firstLine="0" w:firstLineChars="0"/>
                    <w:rPr>
                      <w:rFonts w:hint="eastAsia" w:ascii="宋体" w:hAnsi="宋体" w:cs="宋体"/>
                      <w:color w:val="auto"/>
                      <w:sz w:val="21"/>
                      <w:szCs w:val="21"/>
                    </w:rPr>
                  </w:pPr>
                  <w:r>
                    <w:rPr>
                      <w:rFonts w:hint="eastAsia" w:ascii="宋体" w:hAnsi="宋体" w:cs="宋体"/>
                      <w:b/>
                      <w:bCs/>
                      <w:color w:val="auto"/>
                      <w:sz w:val="21"/>
                      <w:szCs w:val="21"/>
                    </w:rPr>
                    <w:t>商品混凝土生产设备</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24" w:hRule="exact"/>
                <w:jc w:val="center"/>
              </w:trPr>
              <w:tc>
                <w:tcPr>
                  <w:tcW w:w="453"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1</w:t>
                  </w:r>
                </w:p>
              </w:tc>
              <w:tc>
                <w:tcPr>
                  <w:tcW w:w="1709" w:type="pct"/>
                  <w:tcBorders>
                    <w:tl2br w:val="nil"/>
                    <w:tr2bl w:val="nil"/>
                  </w:tcBorders>
                  <w:vAlign w:val="center"/>
                </w:tcPr>
                <w:p>
                  <w:pPr>
                    <w:widowControl/>
                    <w:ind w:firstLine="0" w:firstLineChars="0"/>
                    <w:jc w:val="center"/>
                    <w:rPr>
                      <w:rFonts w:hint="eastAsia" w:ascii="宋体" w:hAnsi="宋体" w:cs="宋体"/>
                      <w:color w:val="auto"/>
                      <w:sz w:val="21"/>
                      <w:szCs w:val="21"/>
                    </w:rPr>
                  </w:pPr>
                  <w:r>
                    <w:rPr>
                      <w:rFonts w:hint="eastAsia" w:ascii="宋体" w:hAnsi="宋体" w:cs="宋体"/>
                      <w:color w:val="auto"/>
                      <w:kern w:val="0"/>
                      <w:sz w:val="21"/>
                      <w:szCs w:val="21"/>
                    </w:rPr>
                    <w:t>双卧轴强制式搅拌机</w:t>
                  </w:r>
                </w:p>
              </w:tc>
              <w:tc>
                <w:tcPr>
                  <w:tcW w:w="888"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2套</w:t>
                  </w:r>
                </w:p>
              </w:tc>
              <w:tc>
                <w:tcPr>
                  <w:tcW w:w="849" w:type="pct"/>
                  <w:tcBorders>
                    <w:tl2br w:val="nil"/>
                    <w:tr2bl w:val="nil"/>
                  </w:tcBorders>
                  <w:vAlign w:val="center"/>
                </w:tcPr>
                <w:p>
                  <w:pPr>
                    <w:ind w:firstLine="0" w:firstLineChars="0"/>
                    <w:jc w:val="center"/>
                    <w:rPr>
                      <w:rFonts w:hint="eastAsia" w:ascii="宋体" w:hAnsi="宋体" w:cs="宋体"/>
                      <w:color w:val="auto"/>
                      <w:sz w:val="21"/>
                      <w:szCs w:val="21"/>
                    </w:rPr>
                  </w:pPr>
                </w:p>
              </w:tc>
              <w:tc>
                <w:tcPr>
                  <w:tcW w:w="1099" w:type="pct"/>
                  <w:tcBorders>
                    <w:tl2br w:val="nil"/>
                    <w:tr2bl w:val="nil"/>
                  </w:tcBorders>
                  <w:vAlign w:val="center"/>
                </w:tcPr>
                <w:p>
                  <w:pPr>
                    <w:ind w:firstLine="0" w:firstLineChars="0"/>
                    <w:jc w:val="center"/>
                    <w:rPr>
                      <w:rFonts w:hint="eastAsia" w:ascii="宋体" w:hAnsi="宋体" w:cs="宋体"/>
                      <w:color w:val="auto"/>
                      <w:sz w:val="21"/>
                      <w:szCs w:val="21"/>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95" w:hRule="exact"/>
                <w:jc w:val="center"/>
              </w:trPr>
              <w:tc>
                <w:tcPr>
                  <w:tcW w:w="453"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2</w:t>
                  </w:r>
                </w:p>
              </w:tc>
              <w:tc>
                <w:tcPr>
                  <w:tcW w:w="1709" w:type="pct"/>
                  <w:tcBorders>
                    <w:tl2br w:val="nil"/>
                    <w:tr2bl w:val="nil"/>
                  </w:tcBorders>
                  <w:vAlign w:val="center"/>
                </w:tcPr>
                <w:p>
                  <w:pPr>
                    <w:widowControl/>
                    <w:ind w:firstLine="0" w:firstLineChars="0"/>
                    <w:jc w:val="center"/>
                    <w:rPr>
                      <w:rFonts w:hint="eastAsia" w:ascii="宋体" w:hAnsi="宋体" w:cs="宋体"/>
                      <w:color w:val="auto"/>
                      <w:sz w:val="21"/>
                      <w:szCs w:val="21"/>
                    </w:rPr>
                  </w:pPr>
                  <w:r>
                    <w:rPr>
                      <w:rFonts w:hint="eastAsia" w:ascii="宋体" w:hAnsi="宋体" w:cs="宋体"/>
                      <w:color w:val="auto"/>
                      <w:kern w:val="0"/>
                      <w:sz w:val="21"/>
                      <w:szCs w:val="21"/>
                    </w:rPr>
                    <w:t>骨料秤（配料机）</w:t>
                  </w:r>
                </w:p>
              </w:tc>
              <w:tc>
                <w:tcPr>
                  <w:tcW w:w="888"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2套</w:t>
                  </w:r>
                </w:p>
              </w:tc>
              <w:tc>
                <w:tcPr>
                  <w:tcW w:w="849" w:type="pct"/>
                  <w:tcBorders>
                    <w:tl2br w:val="nil"/>
                    <w:tr2bl w:val="nil"/>
                  </w:tcBorders>
                  <w:vAlign w:val="center"/>
                </w:tcPr>
                <w:p>
                  <w:pPr>
                    <w:ind w:firstLine="0" w:firstLineChars="0"/>
                    <w:jc w:val="center"/>
                    <w:rPr>
                      <w:rFonts w:hint="eastAsia" w:ascii="宋体" w:hAnsi="宋体" w:cs="宋体"/>
                      <w:color w:val="auto"/>
                      <w:sz w:val="21"/>
                      <w:szCs w:val="21"/>
                    </w:rPr>
                  </w:pPr>
                </w:p>
              </w:tc>
              <w:tc>
                <w:tcPr>
                  <w:tcW w:w="1099" w:type="pct"/>
                  <w:tcBorders>
                    <w:tl2br w:val="nil"/>
                    <w:tr2bl w:val="nil"/>
                  </w:tcBorders>
                  <w:vAlign w:val="center"/>
                </w:tcPr>
                <w:p>
                  <w:pPr>
                    <w:ind w:firstLine="0" w:firstLineChars="0"/>
                    <w:jc w:val="center"/>
                    <w:rPr>
                      <w:rFonts w:hint="eastAsia" w:ascii="宋体" w:hAnsi="宋体" w:cs="宋体"/>
                      <w:color w:val="auto"/>
                      <w:sz w:val="21"/>
                      <w:szCs w:val="21"/>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50" w:hRule="exact"/>
                <w:jc w:val="center"/>
              </w:trPr>
              <w:tc>
                <w:tcPr>
                  <w:tcW w:w="453"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3</w:t>
                  </w:r>
                </w:p>
              </w:tc>
              <w:tc>
                <w:tcPr>
                  <w:tcW w:w="1709" w:type="pct"/>
                  <w:tcBorders>
                    <w:tl2br w:val="nil"/>
                    <w:tr2bl w:val="nil"/>
                  </w:tcBorders>
                  <w:vAlign w:val="center"/>
                </w:tcPr>
                <w:p>
                  <w:pPr>
                    <w:widowControl/>
                    <w:ind w:firstLine="0" w:firstLineChars="0"/>
                    <w:jc w:val="center"/>
                    <w:rPr>
                      <w:rFonts w:hint="eastAsia" w:ascii="宋体" w:hAnsi="宋体" w:cs="宋体"/>
                      <w:color w:val="auto"/>
                      <w:sz w:val="21"/>
                      <w:szCs w:val="21"/>
                    </w:rPr>
                  </w:pPr>
                  <w:r>
                    <w:rPr>
                      <w:rFonts w:hint="eastAsia" w:ascii="宋体" w:hAnsi="宋体" w:cs="宋体"/>
                      <w:color w:val="auto"/>
                      <w:kern w:val="0"/>
                      <w:sz w:val="21"/>
                      <w:szCs w:val="21"/>
                    </w:rPr>
                    <w:t>上料皮带机</w:t>
                  </w:r>
                </w:p>
              </w:tc>
              <w:tc>
                <w:tcPr>
                  <w:tcW w:w="888"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2套</w:t>
                  </w:r>
                </w:p>
              </w:tc>
              <w:tc>
                <w:tcPr>
                  <w:tcW w:w="849" w:type="pct"/>
                  <w:tcBorders>
                    <w:tl2br w:val="nil"/>
                    <w:tr2bl w:val="nil"/>
                  </w:tcBorders>
                  <w:vAlign w:val="center"/>
                </w:tcPr>
                <w:p>
                  <w:pPr>
                    <w:ind w:firstLine="0" w:firstLineChars="0"/>
                    <w:jc w:val="center"/>
                    <w:rPr>
                      <w:rFonts w:hint="eastAsia" w:ascii="宋体" w:hAnsi="宋体" w:cs="宋体"/>
                      <w:color w:val="auto"/>
                      <w:sz w:val="21"/>
                      <w:szCs w:val="21"/>
                    </w:rPr>
                  </w:pPr>
                </w:p>
              </w:tc>
              <w:tc>
                <w:tcPr>
                  <w:tcW w:w="1099" w:type="pct"/>
                  <w:tcBorders>
                    <w:tl2br w:val="nil"/>
                    <w:tr2bl w:val="nil"/>
                  </w:tcBorders>
                  <w:vAlign w:val="center"/>
                </w:tcPr>
                <w:p>
                  <w:pPr>
                    <w:ind w:firstLine="0" w:firstLineChars="0"/>
                    <w:jc w:val="center"/>
                    <w:rPr>
                      <w:rFonts w:hint="eastAsia" w:ascii="宋体" w:hAnsi="宋体" w:cs="宋体"/>
                      <w:color w:val="auto"/>
                      <w:sz w:val="21"/>
                      <w:szCs w:val="21"/>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72" w:hRule="exact"/>
                <w:jc w:val="center"/>
              </w:trPr>
              <w:tc>
                <w:tcPr>
                  <w:tcW w:w="453"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4</w:t>
                  </w:r>
                </w:p>
              </w:tc>
              <w:tc>
                <w:tcPr>
                  <w:tcW w:w="1709" w:type="pct"/>
                  <w:tcBorders>
                    <w:tl2br w:val="nil"/>
                    <w:tr2bl w:val="nil"/>
                  </w:tcBorders>
                  <w:vAlign w:val="center"/>
                </w:tcPr>
                <w:p>
                  <w:pPr>
                    <w:widowControl/>
                    <w:ind w:firstLine="0" w:firstLineChars="0"/>
                    <w:jc w:val="center"/>
                    <w:rPr>
                      <w:rFonts w:hint="eastAsia" w:ascii="宋体" w:hAnsi="宋体" w:cs="宋体"/>
                      <w:color w:val="auto"/>
                      <w:sz w:val="21"/>
                      <w:szCs w:val="21"/>
                    </w:rPr>
                  </w:pPr>
                  <w:r>
                    <w:rPr>
                      <w:rFonts w:hint="eastAsia" w:ascii="宋体" w:hAnsi="宋体" w:cs="宋体"/>
                      <w:color w:val="auto"/>
                      <w:kern w:val="0"/>
                      <w:sz w:val="21"/>
                      <w:szCs w:val="21"/>
                    </w:rPr>
                    <w:t>水计量投放系统</w:t>
                  </w:r>
                </w:p>
              </w:tc>
              <w:tc>
                <w:tcPr>
                  <w:tcW w:w="888"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2套</w:t>
                  </w:r>
                </w:p>
              </w:tc>
              <w:tc>
                <w:tcPr>
                  <w:tcW w:w="849" w:type="pct"/>
                  <w:tcBorders>
                    <w:tl2br w:val="nil"/>
                    <w:tr2bl w:val="nil"/>
                  </w:tcBorders>
                  <w:vAlign w:val="center"/>
                </w:tcPr>
                <w:p>
                  <w:pPr>
                    <w:ind w:firstLine="0" w:firstLineChars="0"/>
                    <w:jc w:val="center"/>
                    <w:rPr>
                      <w:rFonts w:hint="eastAsia" w:ascii="宋体" w:hAnsi="宋体" w:cs="宋体"/>
                      <w:color w:val="auto"/>
                      <w:sz w:val="21"/>
                      <w:szCs w:val="21"/>
                    </w:rPr>
                  </w:pPr>
                </w:p>
              </w:tc>
              <w:tc>
                <w:tcPr>
                  <w:tcW w:w="1099" w:type="pct"/>
                  <w:tcBorders>
                    <w:tl2br w:val="nil"/>
                    <w:tr2bl w:val="nil"/>
                  </w:tcBorders>
                  <w:vAlign w:val="center"/>
                </w:tcPr>
                <w:p>
                  <w:pPr>
                    <w:ind w:firstLine="0" w:firstLineChars="0"/>
                    <w:jc w:val="center"/>
                    <w:rPr>
                      <w:rFonts w:hint="eastAsia" w:ascii="宋体" w:hAnsi="宋体" w:cs="宋体"/>
                      <w:color w:val="auto"/>
                      <w:sz w:val="21"/>
                      <w:szCs w:val="21"/>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72" w:hRule="exact"/>
                <w:jc w:val="center"/>
              </w:trPr>
              <w:tc>
                <w:tcPr>
                  <w:tcW w:w="453"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5</w:t>
                  </w:r>
                </w:p>
              </w:tc>
              <w:tc>
                <w:tcPr>
                  <w:tcW w:w="1709" w:type="pct"/>
                  <w:tcBorders>
                    <w:tl2br w:val="nil"/>
                    <w:tr2bl w:val="nil"/>
                  </w:tcBorders>
                  <w:vAlign w:val="center"/>
                </w:tcPr>
                <w:p>
                  <w:pPr>
                    <w:widowControl/>
                    <w:ind w:firstLine="0" w:firstLineChars="0"/>
                    <w:jc w:val="center"/>
                    <w:rPr>
                      <w:rFonts w:hint="eastAsia" w:ascii="宋体" w:hAnsi="宋体" w:cs="宋体"/>
                      <w:color w:val="auto"/>
                      <w:sz w:val="21"/>
                      <w:szCs w:val="21"/>
                    </w:rPr>
                  </w:pPr>
                  <w:r>
                    <w:rPr>
                      <w:rFonts w:hint="eastAsia" w:ascii="宋体" w:hAnsi="宋体" w:cs="宋体"/>
                      <w:color w:val="auto"/>
                      <w:kern w:val="0"/>
                      <w:sz w:val="21"/>
                      <w:szCs w:val="21"/>
                    </w:rPr>
                    <w:t>附加剂计量投放系统</w:t>
                  </w:r>
                </w:p>
              </w:tc>
              <w:tc>
                <w:tcPr>
                  <w:tcW w:w="888"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2套</w:t>
                  </w:r>
                </w:p>
              </w:tc>
              <w:tc>
                <w:tcPr>
                  <w:tcW w:w="849" w:type="pct"/>
                  <w:tcBorders>
                    <w:tl2br w:val="nil"/>
                    <w:tr2bl w:val="nil"/>
                  </w:tcBorders>
                  <w:vAlign w:val="center"/>
                </w:tcPr>
                <w:p>
                  <w:pPr>
                    <w:ind w:firstLine="0" w:firstLineChars="0"/>
                    <w:jc w:val="center"/>
                    <w:rPr>
                      <w:rFonts w:hint="eastAsia" w:ascii="宋体" w:hAnsi="宋体" w:cs="宋体"/>
                      <w:color w:val="auto"/>
                      <w:sz w:val="21"/>
                      <w:szCs w:val="21"/>
                    </w:rPr>
                  </w:pPr>
                </w:p>
              </w:tc>
              <w:tc>
                <w:tcPr>
                  <w:tcW w:w="1099" w:type="pct"/>
                  <w:tcBorders>
                    <w:tl2br w:val="nil"/>
                    <w:tr2bl w:val="nil"/>
                  </w:tcBorders>
                  <w:vAlign w:val="center"/>
                </w:tcPr>
                <w:p>
                  <w:pPr>
                    <w:ind w:firstLine="0" w:firstLineChars="0"/>
                    <w:jc w:val="center"/>
                    <w:rPr>
                      <w:rFonts w:hint="eastAsia" w:ascii="宋体" w:hAnsi="宋体" w:cs="宋体"/>
                      <w:color w:val="auto"/>
                      <w:sz w:val="21"/>
                      <w:szCs w:val="21"/>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72" w:hRule="exact"/>
                <w:jc w:val="center"/>
              </w:trPr>
              <w:tc>
                <w:tcPr>
                  <w:tcW w:w="453"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6</w:t>
                  </w:r>
                </w:p>
              </w:tc>
              <w:tc>
                <w:tcPr>
                  <w:tcW w:w="1709" w:type="pct"/>
                  <w:tcBorders>
                    <w:tl2br w:val="nil"/>
                    <w:tr2bl w:val="nil"/>
                  </w:tcBorders>
                  <w:vAlign w:val="center"/>
                </w:tcPr>
                <w:p>
                  <w:pPr>
                    <w:widowControl/>
                    <w:ind w:firstLine="0" w:firstLineChars="0"/>
                    <w:jc w:val="center"/>
                    <w:rPr>
                      <w:rFonts w:hint="eastAsia" w:ascii="宋体" w:hAnsi="宋体" w:cs="宋体"/>
                      <w:color w:val="auto"/>
                      <w:sz w:val="21"/>
                      <w:szCs w:val="21"/>
                    </w:rPr>
                  </w:pPr>
                  <w:r>
                    <w:rPr>
                      <w:rFonts w:hint="eastAsia" w:ascii="宋体" w:hAnsi="宋体" w:cs="宋体"/>
                      <w:color w:val="auto"/>
                      <w:kern w:val="0"/>
                      <w:sz w:val="21"/>
                      <w:szCs w:val="21"/>
                    </w:rPr>
                    <w:t>粉料螺旋输送机</w:t>
                  </w:r>
                </w:p>
              </w:tc>
              <w:tc>
                <w:tcPr>
                  <w:tcW w:w="888"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8个</w:t>
                  </w:r>
                </w:p>
              </w:tc>
              <w:tc>
                <w:tcPr>
                  <w:tcW w:w="849" w:type="pct"/>
                  <w:tcBorders>
                    <w:tl2br w:val="nil"/>
                    <w:tr2bl w:val="nil"/>
                  </w:tcBorders>
                  <w:vAlign w:val="center"/>
                </w:tcPr>
                <w:p>
                  <w:pPr>
                    <w:ind w:firstLine="0" w:firstLineChars="0"/>
                    <w:jc w:val="center"/>
                    <w:rPr>
                      <w:rFonts w:hint="eastAsia" w:ascii="宋体" w:hAnsi="宋体" w:cs="宋体"/>
                      <w:color w:val="auto"/>
                      <w:sz w:val="21"/>
                      <w:szCs w:val="21"/>
                    </w:rPr>
                  </w:pPr>
                </w:p>
              </w:tc>
              <w:tc>
                <w:tcPr>
                  <w:tcW w:w="1099" w:type="pct"/>
                  <w:tcBorders>
                    <w:tl2br w:val="nil"/>
                    <w:tr2bl w:val="nil"/>
                  </w:tcBorders>
                  <w:vAlign w:val="center"/>
                </w:tcPr>
                <w:p>
                  <w:pPr>
                    <w:ind w:firstLine="0" w:firstLineChars="0"/>
                    <w:jc w:val="center"/>
                    <w:rPr>
                      <w:rFonts w:hint="eastAsia" w:ascii="宋体" w:hAnsi="宋体" w:cs="宋体"/>
                      <w:color w:val="auto"/>
                      <w:sz w:val="21"/>
                      <w:szCs w:val="21"/>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72" w:hRule="exact"/>
                <w:jc w:val="center"/>
              </w:trPr>
              <w:tc>
                <w:tcPr>
                  <w:tcW w:w="453"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7</w:t>
                  </w:r>
                </w:p>
              </w:tc>
              <w:tc>
                <w:tcPr>
                  <w:tcW w:w="1709" w:type="pct"/>
                  <w:tcBorders>
                    <w:tl2br w:val="nil"/>
                    <w:tr2bl w:val="nil"/>
                  </w:tcBorders>
                  <w:vAlign w:val="center"/>
                </w:tcPr>
                <w:p>
                  <w:pPr>
                    <w:widowControl/>
                    <w:ind w:firstLine="0" w:firstLineChars="0"/>
                    <w:jc w:val="center"/>
                    <w:rPr>
                      <w:rFonts w:hint="eastAsia" w:ascii="宋体" w:hAnsi="宋体" w:cs="宋体"/>
                      <w:color w:val="auto"/>
                      <w:sz w:val="21"/>
                      <w:szCs w:val="21"/>
                    </w:rPr>
                  </w:pPr>
                  <w:r>
                    <w:rPr>
                      <w:rFonts w:hint="eastAsia" w:ascii="宋体" w:hAnsi="宋体" w:cs="宋体"/>
                      <w:color w:val="auto"/>
                      <w:kern w:val="0"/>
                      <w:sz w:val="21"/>
                      <w:szCs w:val="21"/>
                    </w:rPr>
                    <w:t>水泥筒仓</w:t>
                  </w:r>
                </w:p>
              </w:tc>
              <w:tc>
                <w:tcPr>
                  <w:tcW w:w="888"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4个</w:t>
                  </w:r>
                </w:p>
              </w:tc>
              <w:tc>
                <w:tcPr>
                  <w:tcW w:w="849"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300t</w:t>
                  </w:r>
                </w:p>
              </w:tc>
              <w:tc>
                <w:tcPr>
                  <w:tcW w:w="1099" w:type="pct"/>
                  <w:tcBorders>
                    <w:tl2br w:val="nil"/>
                    <w:tr2bl w:val="nil"/>
                  </w:tcBorders>
                  <w:vAlign w:val="center"/>
                </w:tcPr>
                <w:p>
                  <w:pPr>
                    <w:ind w:firstLine="0" w:firstLineChars="0"/>
                    <w:jc w:val="center"/>
                    <w:rPr>
                      <w:rFonts w:hint="eastAsia" w:ascii="宋体" w:hAnsi="宋体" w:cs="宋体"/>
                      <w:color w:val="auto"/>
                      <w:sz w:val="21"/>
                      <w:szCs w:val="21"/>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8" w:hRule="exact"/>
                <w:jc w:val="center"/>
              </w:trPr>
              <w:tc>
                <w:tcPr>
                  <w:tcW w:w="453"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8</w:t>
                  </w:r>
                </w:p>
              </w:tc>
              <w:tc>
                <w:tcPr>
                  <w:tcW w:w="1709" w:type="pct"/>
                  <w:tcBorders>
                    <w:tl2br w:val="nil"/>
                    <w:tr2bl w:val="nil"/>
                  </w:tcBorders>
                  <w:vAlign w:val="center"/>
                </w:tcPr>
                <w:p>
                  <w:pPr>
                    <w:widowControl/>
                    <w:ind w:firstLine="0" w:firstLineChars="0"/>
                    <w:jc w:val="center"/>
                    <w:rPr>
                      <w:rFonts w:hint="eastAsia" w:ascii="宋体" w:hAnsi="宋体" w:cs="宋体"/>
                      <w:color w:val="auto"/>
                      <w:sz w:val="21"/>
                      <w:szCs w:val="21"/>
                    </w:rPr>
                  </w:pPr>
                  <w:r>
                    <w:rPr>
                      <w:rFonts w:hint="eastAsia" w:ascii="宋体" w:hAnsi="宋体" w:cs="宋体"/>
                      <w:color w:val="auto"/>
                      <w:kern w:val="0"/>
                      <w:sz w:val="21"/>
                      <w:szCs w:val="21"/>
                    </w:rPr>
                    <w:t>粉煤灰筒仓</w:t>
                  </w:r>
                </w:p>
              </w:tc>
              <w:tc>
                <w:tcPr>
                  <w:tcW w:w="888"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4个</w:t>
                  </w:r>
                </w:p>
              </w:tc>
              <w:tc>
                <w:tcPr>
                  <w:tcW w:w="849"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300t</w:t>
                  </w:r>
                </w:p>
              </w:tc>
              <w:tc>
                <w:tcPr>
                  <w:tcW w:w="1099" w:type="pct"/>
                  <w:tcBorders>
                    <w:tl2br w:val="nil"/>
                    <w:tr2bl w:val="nil"/>
                  </w:tcBorders>
                  <w:vAlign w:val="center"/>
                </w:tcPr>
                <w:p>
                  <w:pPr>
                    <w:ind w:firstLine="0" w:firstLineChars="0"/>
                    <w:jc w:val="center"/>
                    <w:rPr>
                      <w:rFonts w:hint="eastAsia" w:ascii="宋体" w:hAnsi="宋体" w:cs="宋体"/>
                      <w:color w:val="auto"/>
                      <w:sz w:val="21"/>
                      <w:szCs w:val="21"/>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72" w:hRule="exact"/>
                <w:jc w:val="center"/>
              </w:trPr>
              <w:tc>
                <w:tcPr>
                  <w:tcW w:w="453"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9</w:t>
                  </w:r>
                </w:p>
              </w:tc>
              <w:tc>
                <w:tcPr>
                  <w:tcW w:w="1709" w:type="pct"/>
                  <w:tcBorders>
                    <w:tl2br w:val="nil"/>
                    <w:tr2bl w:val="nil"/>
                  </w:tcBorders>
                  <w:vAlign w:val="center"/>
                </w:tcPr>
                <w:p>
                  <w:pPr>
                    <w:widowControl/>
                    <w:ind w:firstLine="0" w:firstLineChars="0"/>
                    <w:jc w:val="center"/>
                    <w:rPr>
                      <w:rFonts w:hint="eastAsia" w:ascii="宋体" w:hAnsi="宋体" w:cs="宋体"/>
                      <w:color w:val="auto"/>
                      <w:sz w:val="21"/>
                      <w:szCs w:val="21"/>
                    </w:rPr>
                  </w:pPr>
                  <w:r>
                    <w:rPr>
                      <w:rFonts w:hint="eastAsia" w:ascii="宋体" w:hAnsi="宋体" w:cs="宋体"/>
                      <w:color w:val="auto"/>
                      <w:kern w:val="0"/>
                      <w:sz w:val="21"/>
                      <w:szCs w:val="21"/>
                    </w:rPr>
                    <w:t>外加剂罐</w:t>
                  </w:r>
                </w:p>
              </w:tc>
              <w:tc>
                <w:tcPr>
                  <w:tcW w:w="888"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2</w:t>
                  </w:r>
                </w:p>
              </w:tc>
              <w:tc>
                <w:tcPr>
                  <w:tcW w:w="849" w:type="pct"/>
                  <w:tcBorders>
                    <w:tl2br w:val="nil"/>
                    <w:tr2bl w:val="nil"/>
                  </w:tcBorders>
                  <w:vAlign w:val="center"/>
                </w:tcPr>
                <w:p>
                  <w:pPr>
                    <w:ind w:firstLine="0" w:firstLineChars="0"/>
                    <w:jc w:val="center"/>
                    <w:rPr>
                      <w:rFonts w:hint="eastAsia" w:ascii="宋体" w:hAnsi="宋体" w:cs="宋体"/>
                      <w:color w:val="auto"/>
                      <w:sz w:val="21"/>
                      <w:szCs w:val="21"/>
                    </w:rPr>
                  </w:pPr>
                </w:p>
              </w:tc>
              <w:tc>
                <w:tcPr>
                  <w:tcW w:w="1099" w:type="pct"/>
                  <w:tcBorders>
                    <w:tl2br w:val="nil"/>
                    <w:tr2bl w:val="nil"/>
                  </w:tcBorders>
                  <w:vAlign w:val="center"/>
                </w:tcPr>
                <w:p>
                  <w:pPr>
                    <w:ind w:firstLine="0" w:firstLineChars="0"/>
                    <w:jc w:val="center"/>
                    <w:rPr>
                      <w:rFonts w:hint="eastAsia" w:ascii="宋体" w:hAnsi="宋体" w:cs="宋体"/>
                      <w:color w:val="auto"/>
                      <w:sz w:val="21"/>
                      <w:szCs w:val="21"/>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72" w:hRule="exact"/>
                <w:jc w:val="center"/>
              </w:trPr>
              <w:tc>
                <w:tcPr>
                  <w:tcW w:w="453"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10</w:t>
                  </w:r>
                </w:p>
              </w:tc>
              <w:tc>
                <w:tcPr>
                  <w:tcW w:w="1709" w:type="pct"/>
                  <w:tcBorders>
                    <w:tl2br w:val="nil"/>
                    <w:tr2bl w:val="nil"/>
                  </w:tcBorders>
                  <w:vAlign w:val="center"/>
                </w:tcPr>
                <w:p>
                  <w:pPr>
                    <w:widowControl/>
                    <w:ind w:firstLine="0" w:firstLineChars="0"/>
                    <w:jc w:val="center"/>
                    <w:rPr>
                      <w:rFonts w:hint="eastAsia" w:ascii="宋体" w:hAnsi="宋体" w:cs="宋体"/>
                      <w:color w:val="auto"/>
                      <w:sz w:val="21"/>
                      <w:szCs w:val="21"/>
                    </w:rPr>
                  </w:pPr>
                  <w:r>
                    <w:rPr>
                      <w:rFonts w:hint="eastAsia" w:ascii="宋体" w:hAnsi="宋体" w:cs="宋体"/>
                      <w:color w:val="auto"/>
                      <w:kern w:val="0"/>
                      <w:sz w:val="21"/>
                      <w:szCs w:val="21"/>
                    </w:rPr>
                    <w:t>骨料投放装置</w:t>
                  </w:r>
                </w:p>
              </w:tc>
              <w:tc>
                <w:tcPr>
                  <w:tcW w:w="888" w:type="pct"/>
                  <w:tcBorders>
                    <w:tl2br w:val="nil"/>
                    <w:tr2bl w:val="nil"/>
                  </w:tcBorders>
                  <w:vAlign w:val="center"/>
                </w:tcPr>
                <w:p>
                  <w:pPr>
                    <w:ind w:firstLine="0" w:firstLineChars="0"/>
                    <w:jc w:val="center"/>
                    <w:rPr>
                      <w:rFonts w:hint="eastAsia" w:ascii="宋体" w:hAnsi="宋体" w:cs="宋体"/>
                      <w:color w:val="auto"/>
                      <w:sz w:val="21"/>
                      <w:szCs w:val="21"/>
                    </w:rPr>
                  </w:pPr>
                  <w:r>
                    <w:rPr>
                      <w:rFonts w:hint="eastAsia" w:ascii="宋体" w:hAnsi="宋体" w:cs="宋体"/>
                      <w:color w:val="auto"/>
                      <w:sz w:val="21"/>
                      <w:szCs w:val="21"/>
                    </w:rPr>
                    <w:t>2套</w:t>
                  </w:r>
                </w:p>
              </w:tc>
              <w:tc>
                <w:tcPr>
                  <w:tcW w:w="849" w:type="pct"/>
                  <w:tcBorders>
                    <w:tl2br w:val="nil"/>
                    <w:tr2bl w:val="nil"/>
                  </w:tcBorders>
                  <w:vAlign w:val="center"/>
                </w:tcPr>
                <w:p>
                  <w:pPr>
                    <w:ind w:firstLine="0" w:firstLineChars="0"/>
                    <w:jc w:val="center"/>
                    <w:rPr>
                      <w:rFonts w:hint="eastAsia" w:ascii="宋体" w:hAnsi="宋体" w:cs="宋体"/>
                      <w:color w:val="auto"/>
                      <w:sz w:val="21"/>
                      <w:szCs w:val="21"/>
                    </w:rPr>
                  </w:pPr>
                </w:p>
              </w:tc>
              <w:tc>
                <w:tcPr>
                  <w:tcW w:w="1099" w:type="pct"/>
                  <w:tcBorders>
                    <w:tl2br w:val="nil"/>
                    <w:tr2bl w:val="nil"/>
                  </w:tcBorders>
                  <w:vAlign w:val="center"/>
                </w:tcPr>
                <w:p>
                  <w:pPr>
                    <w:ind w:firstLine="0" w:firstLineChars="0"/>
                    <w:jc w:val="center"/>
                    <w:rPr>
                      <w:rFonts w:hint="eastAsia" w:ascii="宋体" w:hAnsi="宋体" w:cs="宋体"/>
                      <w:color w:val="auto"/>
                      <w:sz w:val="21"/>
                      <w:szCs w:val="21"/>
                    </w:rPr>
                  </w:pPr>
                </w:p>
              </w:tc>
            </w:tr>
          </w:tbl>
          <w:p>
            <w:pPr>
              <w:pStyle w:val="4"/>
              <w:rPr>
                <w:rFonts w:hint="eastAsia"/>
                <w:color w:val="auto"/>
              </w:rPr>
            </w:pPr>
          </w:p>
          <w:p>
            <w:pPr>
              <w:pStyle w:val="4"/>
              <w:rPr>
                <w:color w:val="auto"/>
              </w:rPr>
            </w:pPr>
            <w:r>
              <w:rPr>
                <w:rFonts w:hint="eastAsia"/>
                <w:color w:val="auto"/>
              </w:rPr>
              <w:t>5</w:t>
            </w:r>
            <w:r>
              <w:rPr>
                <w:color w:val="auto"/>
              </w:rPr>
              <w:t>公用工程</w:t>
            </w:r>
          </w:p>
          <w:p>
            <w:pPr>
              <w:ind w:firstLine="361" w:firstLineChars="150"/>
              <w:rPr>
                <w:rFonts w:hint="eastAsia" w:ascii="宋体" w:hAnsi="宋体" w:cs="宋体"/>
                <w:color w:val="auto"/>
              </w:rPr>
            </w:pPr>
            <w:r>
              <w:rPr>
                <w:rFonts w:hint="eastAsia" w:ascii="宋体" w:hAnsi="宋体" w:cs="宋体"/>
                <w:b/>
                <w:bCs/>
                <w:color w:val="auto"/>
              </w:rPr>
              <w:t>（</w:t>
            </w:r>
            <w:r>
              <w:rPr>
                <w:rFonts w:hint="eastAsia" w:ascii="宋体" w:hAnsi="宋体" w:cs="宋体"/>
                <w:color w:val="auto"/>
              </w:rPr>
              <w:t>1）给排水</w:t>
            </w:r>
          </w:p>
          <w:p>
            <w:pPr>
              <w:ind w:firstLine="480"/>
              <w:rPr>
                <w:rFonts w:hint="eastAsia" w:ascii="宋体" w:hAnsi="宋体" w:cs="宋体"/>
                <w:color w:val="auto"/>
              </w:rPr>
            </w:pPr>
            <w:r>
              <w:rPr>
                <w:rFonts w:hint="eastAsia" w:ascii="宋体" w:hAnsi="宋体" w:cs="宋体"/>
                <w:color w:val="auto"/>
              </w:rPr>
              <w:t xml:space="preserve">给水：本项目建成运营后，生产生活用水从园区供水管网接入，完全可满足项目用水需求。 </w:t>
            </w:r>
          </w:p>
          <w:p>
            <w:pPr>
              <w:ind w:firstLine="480"/>
              <w:rPr>
                <w:rFonts w:hint="eastAsia" w:ascii="宋体" w:hAnsi="宋体" w:cs="宋体"/>
                <w:color w:val="auto"/>
              </w:rPr>
            </w:pPr>
            <w:r>
              <w:rPr>
                <w:rFonts w:hint="eastAsia" w:ascii="宋体" w:hAnsi="宋体" w:cs="宋体"/>
                <w:color w:val="auto"/>
              </w:rPr>
              <w:t>排水：项目无生产性废水产生。食堂废水经隔油器处理后与其他生活污水一同经化粪池预处理后排入园区污水管网。</w:t>
            </w:r>
          </w:p>
          <w:p>
            <w:pPr>
              <w:ind w:firstLine="360" w:firstLineChars="150"/>
              <w:rPr>
                <w:rFonts w:hint="eastAsia" w:ascii="宋体" w:hAnsi="宋体" w:cs="宋体"/>
                <w:color w:val="auto"/>
              </w:rPr>
            </w:pPr>
            <w:r>
              <w:rPr>
                <w:rFonts w:hint="eastAsia" w:ascii="宋体" w:hAnsi="宋体" w:cs="宋体"/>
                <w:color w:val="auto"/>
              </w:rPr>
              <w:t>（2）供电</w:t>
            </w:r>
          </w:p>
          <w:p>
            <w:pPr>
              <w:ind w:firstLine="540" w:firstLineChars="225"/>
              <w:rPr>
                <w:rFonts w:hint="eastAsia" w:ascii="宋体" w:hAnsi="宋体" w:cs="宋体"/>
                <w:color w:val="auto"/>
              </w:rPr>
            </w:pPr>
            <w:r>
              <w:rPr>
                <w:rFonts w:hint="eastAsia" w:ascii="宋体" w:hAnsi="宋体" w:cs="宋体"/>
                <w:color w:val="auto"/>
              </w:rPr>
              <w:t>项目供电由园区电网接入，完全能满足生产、生活用电。</w:t>
            </w:r>
          </w:p>
          <w:p>
            <w:pPr>
              <w:ind w:firstLine="360" w:firstLineChars="150"/>
              <w:rPr>
                <w:rFonts w:hint="eastAsia" w:ascii="宋体" w:hAnsi="宋体" w:cs="宋体"/>
                <w:color w:val="auto"/>
              </w:rPr>
            </w:pPr>
            <w:r>
              <w:rPr>
                <w:rFonts w:hint="eastAsia" w:ascii="宋体" w:hAnsi="宋体" w:cs="宋体"/>
                <w:color w:val="auto"/>
              </w:rPr>
              <w:t>（3）供热</w:t>
            </w:r>
          </w:p>
          <w:p>
            <w:pPr>
              <w:ind w:firstLine="540" w:firstLineChars="225"/>
              <w:rPr>
                <w:rFonts w:hint="eastAsia" w:ascii="宋体" w:hAnsi="宋体" w:cs="宋体"/>
                <w:color w:val="auto"/>
              </w:rPr>
            </w:pPr>
            <w:r>
              <w:rPr>
                <w:rFonts w:hint="eastAsia" w:ascii="宋体" w:hAnsi="宋体" w:cs="宋体"/>
                <w:color w:val="auto"/>
              </w:rPr>
              <w:t>本项目生产供热为两处，分别为：骨料烘干工序及沥青加热工序。骨料烘干：使用重油加热，通过过烘干筒间接加热供给热量；沥青加热：沥青加热选用1台导热油炉，由柴油燃烧加热，满足本项目供热需求。</w:t>
            </w:r>
          </w:p>
          <w:p>
            <w:pPr>
              <w:ind w:firstLine="540" w:firstLineChars="225"/>
              <w:rPr>
                <w:rFonts w:hint="eastAsia" w:ascii="宋体" w:hAnsi="宋体" w:cs="宋体"/>
                <w:color w:val="auto"/>
              </w:rPr>
            </w:pPr>
            <w:r>
              <w:rPr>
                <w:rFonts w:hint="eastAsia" w:ascii="宋体" w:hAnsi="宋体" w:cs="宋体"/>
                <w:color w:val="auto"/>
              </w:rPr>
              <w:t>（4）供暖</w:t>
            </w:r>
          </w:p>
          <w:p>
            <w:pPr>
              <w:ind w:firstLine="480"/>
              <w:rPr>
                <w:color w:val="auto"/>
              </w:rPr>
            </w:pPr>
            <w:r>
              <w:rPr>
                <w:rFonts w:hint="eastAsia"/>
                <w:color w:val="auto"/>
              </w:rPr>
              <w:t>项目办公生活区冬季供暖使用电锅炉。</w:t>
            </w:r>
          </w:p>
          <w:p>
            <w:pPr>
              <w:pStyle w:val="4"/>
              <w:rPr>
                <w:color w:val="auto"/>
              </w:rPr>
            </w:pPr>
            <w:r>
              <w:rPr>
                <w:rFonts w:hint="eastAsia"/>
                <w:color w:val="auto"/>
              </w:rPr>
              <w:t>6总平面图布置</w:t>
            </w:r>
          </w:p>
          <w:p>
            <w:pPr>
              <w:ind w:firstLine="480"/>
              <w:rPr>
                <w:color w:val="auto"/>
              </w:rPr>
            </w:pPr>
            <w:r>
              <w:rPr>
                <w:rFonts w:hint="eastAsia"/>
                <w:color w:val="auto"/>
              </w:rPr>
              <w:t>本项目位于青海省海南州同德县尕巴松多镇科加村省级扶贫产业园，现状场地为空地，场地内地势较平坦，总用地面积规划用地11000.05 平方米（约合 16.5 亩）。</w:t>
            </w:r>
          </w:p>
          <w:p>
            <w:pPr>
              <w:ind w:firstLine="480"/>
              <w:rPr>
                <w:color w:val="auto"/>
              </w:rPr>
            </w:pPr>
            <w:r>
              <w:rPr>
                <w:rFonts w:hint="eastAsia"/>
                <w:color w:val="auto"/>
              </w:rPr>
              <w:t>厂区由原料区、生产区和办公区组成；在尽量满足工业生产人流、物流分离，互不交叉干扰的基本原则基础上做到：方便生产，物流路线短捷；内外协调，适应自然条件；道路通顺，便于管理；安全可靠；环境良好。总体规划原则遵循环境的要求，做到厂区功能分区明确、人物流分 开、开通运输路线合理短捷、绿化面积厂区总体环境要求。厂区地形比较平坦，拟采用平坡式竖向布置系统， 保证工厂在生产物料、人流上有良好的运输通行条件；合理确定各车间 和其它各类用房的设计标高；厂区排水采用管道系统排水，配备必要的排水构筑物；厂区整平坡应在 3%--5%之间，以顺利和尽快地排除厂区内的雨水。</w:t>
            </w:r>
          </w:p>
          <w:p>
            <w:pPr>
              <w:ind w:firstLine="480"/>
              <w:rPr>
                <w:color w:val="auto"/>
              </w:rPr>
            </w:pPr>
            <w:r>
              <w:rPr>
                <w:rFonts w:hint="eastAsia"/>
                <w:color w:val="auto"/>
              </w:rPr>
              <w:t>项目区常年主导风为西北风，为减小项目生产产生的污染物对生活区的影响，项目构筑物按照西北至东南方向为轴线进行布置，其最西北侧为办公生活区，其后按照轴线依次为绿化区域、一号砂石料库、两座搅拌楼、水泥料仓及粉煤灰料仓、上料系统、沥青混凝土生产区域、二号砂石料库（详见附图4建设项目总平面布置图）。</w:t>
            </w:r>
          </w:p>
          <w:p>
            <w:pPr>
              <w:pStyle w:val="4"/>
              <w:rPr>
                <w:color w:val="auto"/>
              </w:rPr>
            </w:pPr>
            <w:r>
              <w:rPr>
                <w:rFonts w:hint="eastAsia"/>
                <w:color w:val="auto"/>
              </w:rPr>
              <w:t>7职工人数及工作制度</w:t>
            </w:r>
          </w:p>
          <w:p>
            <w:pPr>
              <w:ind w:firstLine="480"/>
              <w:rPr>
                <w:color w:val="auto"/>
              </w:rPr>
            </w:pPr>
            <w:r>
              <w:rPr>
                <w:rFonts w:hint="eastAsia"/>
                <w:color w:val="auto"/>
              </w:rPr>
              <w:t>本项目建成后共有职工40人，其中管理人员3人，年工作360天，生产班次采用1班制，每班8小时。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34" w:hRule="atLeast"/>
          <w:jc w:val="center"/>
        </w:trPr>
        <w:tc>
          <w:tcPr>
            <w:tcW w:w="784" w:type="dxa"/>
            <w:vAlign w:val="center"/>
          </w:tcPr>
          <w:p>
            <w:pPr>
              <w:ind w:firstLine="0" w:firstLineChars="0"/>
              <w:rPr>
                <w:color w:val="auto"/>
              </w:rPr>
            </w:pPr>
            <w:r>
              <w:rPr>
                <w:rFonts w:hint="eastAsia"/>
                <w:color w:val="auto"/>
              </w:rPr>
              <w:t>工艺流程和产排污环节</w:t>
            </w:r>
          </w:p>
        </w:tc>
        <w:tc>
          <w:tcPr>
            <w:tcW w:w="8318" w:type="dxa"/>
          </w:tcPr>
          <w:p>
            <w:pPr>
              <w:pStyle w:val="4"/>
              <w:snapToGrid w:val="0"/>
              <w:rPr>
                <w:color w:val="auto"/>
              </w:rPr>
            </w:pPr>
            <w:r>
              <w:rPr>
                <w:rFonts w:hint="eastAsia"/>
                <w:color w:val="auto"/>
              </w:rPr>
              <w:t>（一）施工期</w:t>
            </w:r>
          </w:p>
          <w:p>
            <w:pPr>
              <w:ind w:firstLine="480"/>
              <w:rPr>
                <w:color w:val="auto"/>
              </w:rPr>
            </w:pPr>
            <w:r>
              <w:rPr>
                <w:rFonts w:hint="eastAsia"/>
                <w:color w:val="auto"/>
              </w:rPr>
              <w:t>本项目施工期主要建设办公区、物料仓库、搅拌机及相关场地和配套的给排水、供电、消防、安全、网络通讯、接线等设施。施工期主要工艺过程及产污环节见下图。</w:t>
            </w:r>
          </w:p>
          <w:tbl>
            <w:tblPr>
              <w:tblStyle w:val="92"/>
              <w:tblW w:w="0" w:type="auto"/>
              <w:jc w:val="center"/>
              <w:tblLayout w:type="autofit"/>
              <w:tblCellMar>
                <w:top w:w="0" w:type="dxa"/>
                <w:left w:w="0" w:type="dxa"/>
                <w:bottom w:w="0" w:type="dxa"/>
                <w:right w:w="0" w:type="dxa"/>
              </w:tblCellMar>
            </w:tblPr>
            <w:tblGrid>
              <w:gridCol w:w="8128"/>
            </w:tblGrid>
            <w:tr>
              <w:tblPrEx>
                <w:tblCellMar>
                  <w:top w:w="0" w:type="dxa"/>
                  <w:left w:w="0" w:type="dxa"/>
                  <w:bottom w:w="0" w:type="dxa"/>
                  <w:right w:w="0" w:type="dxa"/>
                </w:tblCellMar>
              </w:tblPrEx>
              <w:trPr>
                <w:trHeight w:val="340" w:hRule="atLeast"/>
                <w:jc w:val="center"/>
              </w:trPr>
              <w:tc>
                <w:tcPr>
                  <w:tcW w:w="8128" w:type="dxa"/>
                  <w:vAlign w:val="center"/>
                </w:tcPr>
                <w:p>
                  <w:pPr>
                    <w:pStyle w:val="91"/>
                    <w:rPr>
                      <w:snapToGrid w:val="0"/>
                      <w:color w:val="auto"/>
                    </w:rPr>
                  </w:pPr>
                  <w:r>
                    <w:rPr>
                      <w:snapToGrid w:val="0"/>
                      <w:color w:val="auto"/>
                    </w:rPr>
                    <w:drawing>
                      <wp:inline distT="0" distB="0" distL="0" distR="0">
                        <wp:extent cx="5143500" cy="753745"/>
                        <wp:effectExtent l="0" t="0" r="0" b="825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148000" cy="753745"/>
                                </a:xfrm>
                                <a:prstGeom prst="rect">
                                  <a:avLst/>
                                </a:prstGeom>
                                <a:noFill/>
                              </pic:spPr>
                            </pic:pic>
                          </a:graphicData>
                        </a:graphic>
                      </wp:inline>
                    </w:drawing>
                  </w:r>
                </w:p>
              </w:tc>
            </w:tr>
            <w:tr>
              <w:tblPrEx>
                <w:tblCellMar>
                  <w:top w:w="0" w:type="dxa"/>
                  <w:left w:w="0" w:type="dxa"/>
                  <w:bottom w:w="0" w:type="dxa"/>
                  <w:right w:w="0" w:type="dxa"/>
                </w:tblCellMar>
              </w:tblPrEx>
              <w:trPr>
                <w:trHeight w:val="340" w:hRule="atLeast"/>
                <w:jc w:val="center"/>
              </w:trPr>
              <w:tc>
                <w:tcPr>
                  <w:tcW w:w="8128" w:type="dxa"/>
                  <w:vAlign w:val="center"/>
                </w:tcPr>
                <w:p>
                  <w:pPr>
                    <w:pStyle w:val="93"/>
                    <w:adjustRightInd w:val="0"/>
                    <w:snapToGrid w:val="0"/>
                    <w:rPr>
                      <w:snapToGrid w:val="0"/>
                      <w:color w:val="auto"/>
                      <w:sz w:val="21"/>
                      <w:szCs w:val="21"/>
                    </w:rPr>
                  </w:pPr>
                  <w:r>
                    <w:rPr>
                      <w:rFonts w:hint="eastAsia"/>
                      <w:snapToGrid w:val="0"/>
                      <w:color w:val="auto"/>
                      <w:sz w:val="21"/>
                      <w:szCs w:val="21"/>
                    </w:rPr>
                    <w:t>施工期工艺流程及产污节点图</w:t>
                  </w:r>
                </w:p>
              </w:tc>
            </w:tr>
          </w:tbl>
          <w:p>
            <w:pPr>
              <w:pStyle w:val="4"/>
              <w:snapToGrid w:val="0"/>
              <w:spacing w:line="240" w:lineRule="auto"/>
              <w:rPr>
                <w:color w:val="auto"/>
              </w:rPr>
            </w:pPr>
          </w:p>
          <w:p>
            <w:pPr>
              <w:pStyle w:val="4"/>
              <w:snapToGrid w:val="0"/>
              <w:rPr>
                <w:color w:val="auto"/>
              </w:rPr>
            </w:pPr>
            <w:r>
              <w:rPr>
                <w:rFonts w:hint="eastAsia"/>
                <w:color w:val="auto"/>
              </w:rPr>
              <w:t>（二）运营期</w:t>
            </w:r>
          </w:p>
          <w:p>
            <w:pPr>
              <w:ind w:firstLine="480"/>
              <w:rPr>
                <w:rFonts w:hint="eastAsia" w:ascii="黑体" w:hAnsi="黑体" w:eastAsia="黑体" w:cs="黑体"/>
                <w:color w:val="auto"/>
              </w:rPr>
            </w:pPr>
            <w:r>
              <w:rPr>
                <w:rFonts w:hint="eastAsia" w:ascii="黑体" w:hAnsi="黑体" w:eastAsia="黑体" w:cs="黑体"/>
                <w:color w:val="auto"/>
              </w:rPr>
              <w:t>（1）沥青混凝土生产工艺</w:t>
            </w:r>
          </w:p>
          <w:p>
            <w:pPr>
              <w:pStyle w:val="11"/>
              <w:ind w:firstLine="0" w:firstLineChars="0"/>
              <w:rPr>
                <w:b/>
                <w:bCs/>
                <w:color w:val="auto"/>
              </w:rPr>
            </w:pPr>
            <w:r>
              <w:rPr>
                <w:color w:val="auto"/>
              </w:rPr>
              <w:drawing>
                <wp:inline distT="0" distB="0" distL="114300" distR="114300">
                  <wp:extent cx="5276850" cy="3638550"/>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9"/>
                          <a:stretch>
                            <a:fillRect/>
                          </a:stretch>
                        </pic:blipFill>
                        <pic:spPr>
                          <a:xfrm>
                            <a:off x="0" y="0"/>
                            <a:ext cx="5276850" cy="3638550"/>
                          </a:xfrm>
                          <a:prstGeom prst="rect">
                            <a:avLst/>
                          </a:prstGeom>
                          <a:noFill/>
                          <a:ln>
                            <a:noFill/>
                          </a:ln>
                        </pic:spPr>
                      </pic:pic>
                    </a:graphicData>
                  </a:graphic>
                </wp:inline>
              </w:drawing>
            </w:r>
          </w:p>
          <w:p>
            <w:pPr>
              <w:ind w:firstLine="482"/>
              <w:jc w:val="center"/>
              <w:rPr>
                <w:rFonts w:hint="eastAsia" w:ascii="宋体" w:hAnsi="宋体" w:cs="宋体"/>
                <w:b/>
                <w:bCs/>
                <w:color w:val="auto"/>
              </w:rPr>
            </w:pPr>
            <w:r>
              <w:rPr>
                <w:rFonts w:hint="eastAsia" w:ascii="宋体" w:hAnsi="宋体" w:cs="宋体"/>
                <w:b/>
                <w:bCs/>
                <w:color w:val="auto"/>
              </w:rPr>
              <w:t>图2 工艺流程及产污环节示意图</w:t>
            </w:r>
          </w:p>
          <w:p>
            <w:pPr>
              <w:pStyle w:val="11"/>
              <w:ind w:firstLine="480"/>
              <w:rPr>
                <w:rFonts w:hint="eastAsia" w:ascii="宋体" w:hAnsi="宋体" w:cs="宋体"/>
                <w:color w:val="auto"/>
              </w:rPr>
            </w:pPr>
            <w:r>
              <w:rPr>
                <w:rFonts w:hint="eastAsia" w:ascii="宋体" w:hAnsi="宋体" w:cs="宋体"/>
                <w:color w:val="auto"/>
              </w:rPr>
              <w:t>环保沥青生产工艺流程简述：</w:t>
            </w:r>
          </w:p>
          <w:p>
            <w:pPr>
              <w:pStyle w:val="11"/>
              <w:ind w:firstLine="480"/>
              <w:rPr>
                <w:rFonts w:hint="eastAsia" w:ascii="宋体" w:hAnsi="宋体" w:cs="宋体"/>
                <w:color w:val="auto"/>
              </w:rPr>
            </w:pPr>
            <w:r>
              <w:rPr>
                <w:rFonts w:hint="eastAsia" w:ascii="宋体" w:hAnsi="宋体" w:cs="宋体"/>
                <w:color w:val="auto"/>
              </w:rPr>
              <w:t>沥青混凝土由沥青、骨料混合拌制而成</w:t>
            </w:r>
            <w:r>
              <w:rPr>
                <w:rFonts w:hint="eastAsia" w:ascii="宋体" w:hAnsi="宋体" w:cs="宋体"/>
                <w:color w:val="auto"/>
                <w:lang w:eastAsia="zh-CN"/>
              </w:rPr>
              <w:t>，</w:t>
            </w:r>
            <w:r>
              <w:rPr>
                <w:rFonts w:hint="eastAsia" w:ascii="宋体" w:hAnsi="宋体" w:cs="宋体"/>
                <w:color w:val="auto"/>
                <w:lang w:val="en-US" w:eastAsia="zh-CN"/>
              </w:rPr>
              <w:t>分为</w:t>
            </w:r>
            <w:r>
              <w:rPr>
                <w:rFonts w:hint="eastAsia"/>
                <w:color w:val="auto"/>
              </w:rPr>
              <w:t>骨料预处理系统、粉料供应系统、沥青预处理系统 、拌合系统</w:t>
            </w:r>
            <w:r>
              <w:rPr>
                <w:rFonts w:hint="eastAsia"/>
                <w:color w:val="auto"/>
                <w:lang w:eastAsia="zh-CN"/>
              </w:rPr>
              <w:t>，</w:t>
            </w:r>
            <w:r>
              <w:rPr>
                <w:rFonts w:hint="eastAsia" w:ascii="宋体" w:hAnsi="宋体" w:cs="宋体"/>
                <w:color w:val="auto"/>
              </w:rPr>
              <w:t>其一般流程可分为沥青预处理和骨料预处理，经预处理后按一定比例配比混合即为成品。项目沥青预处理及骨料预处理等工序均在一体化设备内完成。</w:t>
            </w:r>
          </w:p>
          <w:p>
            <w:pPr>
              <w:pStyle w:val="12"/>
              <w:spacing w:after="0"/>
              <w:ind w:left="0" w:leftChars="0" w:firstLine="0" w:firstLineChars="0"/>
              <w:rPr>
                <w:color w:val="auto"/>
              </w:rPr>
            </w:pPr>
            <w:r>
              <w:rPr>
                <w:rFonts w:hint="eastAsia" w:ascii="宋体" w:hAnsi="宋体" w:cs="宋体"/>
                <w:color w:val="auto"/>
              </w:rPr>
              <w:t xml:space="preserve">    卸料、装料：砂石经卡车运入厂内，在厂房存放于料库，待加工；原料砂石子通过下沉式的地槽、密闭传送带转运至原料库内；沥青存放于沥青罐内，单罐沥青约 5 天周转一次。</w:t>
            </w:r>
          </w:p>
          <w:p>
            <w:pPr>
              <w:ind w:firstLine="480"/>
              <w:rPr>
                <w:rFonts w:hint="eastAsia" w:ascii="宋体" w:hAnsi="宋体" w:cs="宋体"/>
                <w:color w:val="auto"/>
              </w:rPr>
            </w:pPr>
            <w:r>
              <w:rPr>
                <w:rFonts w:hint="eastAsia" w:ascii="宋体" w:hAnsi="宋体" w:cs="宋体"/>
                <w:color w:val="auto"/>
              </w:rPr>
              <w:t>沥青预处理：沥青是石油工厂热解石油气原料时得到的副产品，由专用沥青运输车将沥青通过密闭沥青管道送至沥青储罐，项目沥青加热使用柴油锅炉将其加热至120-170℃，由沥青泵输送到沥青计量器，按一定比例进行配比混合，经混合后通过专用管道送入搅拌楼与骨料、再生铣刨料混合。沥青加热采用全封闭式加热。该工段主要污染物为锅炉运行过程中产生的烟尘、SO</w:t>
            </w:r>
            <w:r>
              <w:rPr>
                <w:rFonts w:hint="eastAsia" w:ascii="宋体" w:hAnsi="宋体" w:cs="宋体"/>
                <w:color w:val="auto"/>
                <w:vertAlign w:val="subscript"/>
              </w:rPr>
              <w:t>2</w:t>
            </w:r>
            <w:r>
              <w:rPr>
                <w:rFonts w:hint="eastAsia" w:ascii="宋体" w:hAnsi="宋体" w:cs="宋体"/>
                <w:color w:val="auto"/>
              </w:rPr>
              <w:t>及NO</w:t>
            </w:r>
            <w:r>
              <w:rPr>
                <w:rFonts w:hint="eastAsia" w:ascii="宋体" w:hAnsi="宋体" w:cs="宋体"/>
                <w:color w:val="auto"/>
                <w:vertAlign w:val="subscript"/>
              </w:rPr>
              <w:t>X</w:t>
            </w:r>
            <w:r>
              <w:rPr>
                <w:rFonts w:hint="eastAsia" w:ascii="宋体" w:hAnsi="宋体" w:cs="宋体"/>
                <w:color w:val="auto"/>
              </w:rPr>
              <w:t>；沥青加热过程中产生的苯并[a]芘及沥青烟等。</w:t>
            </w:r>
          </w:p>
          <w:p>
            <w:pPr>
              <w:pStyle w:val="11"/>
              <w:ind w:firstLine="480"/>
              <w:rPr>
                <w:rFonts w:hint="eastAsia" w:ascii="宋体" w:hAnsi="宋体" w:cs="宋体"/>
                <w:color w:val="auto"/>
                <w:lang w:eastAsia="zh-CN"/>
              </w:rPr>
            </w:pPr>
            <w:r>
              <w:rPr>
                <w:rFonts w:hint="eastAsia" w:ascii="宋体" w:hAnsi="宋体" w:cs="宋体"/>
                <w:color w:val="auto"/>
              </w:rPr>
              <w:t>骨料预处理：为使沥青产品不至于因过快冷却而带来运输上不便，骨料在与沥青拌合前也要经过热处理。骨料（主要是砂石料）自动进入烘干筒，（首先启动重油燃烧器，点火成功后将引风机门开到40%，紧接着上冷骨料，开大火，不断加热，烘干筒不停转动，以使骨料受热均匀，随后，加热的骨料通过骨料提升机送到粒度检控系统内经过振动筛分，让符合产品要求的骨料通过，经计量后送入搅拌楼；少数不合规格的骨料被分离后用于道路铺设；烘干转筒、粒度控制筛都在密闭的设备内工作，其振动筛分产生的粉尘由系统内的布袋捕集回收后送入搅拌楼</w:t>
            </w:r>
            <w:r>
              <w:rPr>
                <w:rFonts w:hint="eastAsia" w:ascii="宋体" w:hAnsi="宋体" w:cs="宋体"/>
                <w:color w:val="auto"/>
                <w:lang w:eastAsia="zh-CN"/>
              </w:rPr>
              <w:t>。</w:t>
            </w:r>
          </w:p>
          <w:p>
            <w:pPr>
              <w:pStyle w:val="11"/>
              <w:ind w:firstLine="480"/>
              <w:rPr>
                <w:rFonts w:hint="default" w:ascii="宋体" w:hAnsi="宋体" w:eastAsia="宋体" w:cs="宋体"/>
                <w:color w:val="auto"/>
                <w:lang w:val="en-US" w:eastAsia="zh-CN"/>
              </w:rPr>
            </w:pPr>
            <w:r>
              <w:rPr>
                <w:rFonts w:hint="eastAsia" w:ascii="宋体" w:hAnsi="宋体" w:cs="宋体"/>
                <w:color w:val="auto"/>
                <w:lang w:val="en-US" w:eastAsia="zh-CN"/>
              </w:rPr>
              <w:t>粉料供应：</w:t>
            </w:r>
            <w:r>
              <w:rPr>
                <w:rFonts w:hint="eastAsia" w:ascii="宋体" w:hAnsi="宋体" w:cs="宋体"/>
                <w:color w:val="auto"/>
              </w:rPr>
              <w:t>进入搅拌系统搅拌的还有矿粉，通过筒仓底部的卸灰阀开启后，经螺旋输送机送入拌和站搅拌仓内</w:t>
            </w:r>
            <w:r>
              <w:rPr>
                <w:rFonts w:hint="eastAsia" w:ascii="宋体" w:hAnsi="宋体" w:cs="宋体"/>
                <w:color w:val="auto"/>
                <w:lang w:eastAsia="zh-CN"/>
              </w:rPr>
              <w:t>，</w:t>
            </w:r>
            <w:r>
              <w:rPr>
                <w:rFonts w:hint="eastAsia" w:ascii="宋体" w:hAnsi="宋体" w:cs="宋体"/>
                <w:color w:val="auto"/>
                <w:lang w:val="en-US" w:eastAsia="zh-CN"/>
              </w:rPr>
              <w:t>此过程中产生粉尘。</w:t>
            </w:r>
          </w:p>
          <w:p>
            <w:pPr>
              <w:pStyle w:val="11"/>
              <w:ind w:firstLine="480"/>
              <w:rPr>
                <w:rFonts w:hint="eastAsia" w:ascii="宋体" w:hAnsi="宋体" w:cs="宋体"/>
                <w:color w:val="auto"/>
              </w:rPr>
            </w:pPr>
            <w:r>
              <w:rPr>
                <w:rFonts w:hint="eastAsia" w:ascii="宋体" w:hAnsi="宋体" w:cs="宋体"/>
                <w:color w:val="auto"/>
              </w:rPr>
              <w:t>拌合：矿粉通过配料斗、分料提升机、计量器进入拌缸；进入拌缸的骨料、粉料等经与油罐送来的热沥青拌合后才成为成品，整个过程都在密闭系统中进行。成品出料由趟开小斗车经滑道提升到成品仓后装入运输车斗送出，生产出料过程为间断式。该工段主要污染物为重油燃烧产生的烟尘、SO</w:t>
            </w:r>
            <w:r>
              <w:rPr>
                <w:rFonts w:hint="eastAsia" w:ascii="宋体" w:hAnsi="宋体" w:cs="宋体"/>
                <w:color w:val="auto"/>
                <w:vertAlign w:val="subscript"/>
              </w:rPr>
              <w:t>2</w:t>
            </w:r>
            <w:r>
              <w:rPr>
                <w:rFonts w:hint="eastAsia" w:ascii="宋体" w:hAnsi="宋体" w:cs="宋体"/>
                <w:color w:val="auto"/>
              </w:rPr>
              <w:t>及NO</w:t>
            </w:r>
            <w:r>
              <w:rPr>
                <w:rFonts w:hint="eastAsia" w:ascii="宋体" w:hAnsi="宋体" w:cs="宋体"/>
                <w:color w:val="auto"/>
                <w:vertAlign w:val="subscript"/>
              </w:rPr>
              <w:t>X</w:t>
            </w:r>
            <w:r>
              <w:rPr>
                <w:rFonts w:hint="eastAsia" w:ascii="宋体" w:hAnsi="宋体" w:cs="宋体"/>
                <w:color w:val="auto"/>
              </w:rPr>
              <w:t>；沥青加热过程中产生的沥青烟及苯并[a]芘等。</w:t>
            </w:r>
          </w:p>
          <w:p>
            <w:pPr>
              <w:snapToGrid w:val="0"/>
              <w:ind w:firstLine="482"/>
              <w:rPr>
                <w:b/>
                <w:bCs/>
                <w:color w:val="auto"/>
              </w:rPr>
            </w:pPr>
            <w:r>
              <w:rPr>
                <w:rFonts w:hint="eastAsia"/>
                <w:b/>
                <w:bCs/>
                <w:color w:val="auto"/>
              </w:rPr>
              <w:t>（2）混凝土生产工艺流程</w:t>
            </w:r>
          </w:p>
          <w:p>
            <w:pPr>
              <w:ind w:firstLine="482"/>
              <w:rPr>
                <w:b/>
                <w:color w:val="auto"/>
              </w:rPr>
            </w:pPr>
            <w:r>
              <w:rPr>
                <w:rFonts w:hAnsi="宋体"/>
                <w:b/>
                <w:color w:val="auto"/>
              </w:rPr>
              <w:t>工艺流程说明：</w:t>
            </w:r>
          </w:p>
          <w:p>
            <w:pPr>
              <w:ind w:firstLine="480"/>
              <w:rPr>
                <w:color w:val="auto"/>
              </w:rPr>
            </w:pPr>
            <w:r>
              <w:rPr>
                <w:rFonts w:hAnsi="宋体"/>
                <w:color w:val="auto"/>
              </w:rPr>
              <w:t>本项目工艺混合、搅拌过程均为物理反应，无化学反应。</w:t>
            </w:r>
          </w:p>
          <w:p>
            <w:pPr>
              <w:ind w:firstLine="480"/>
              <w:rPr>
                <w:color w:val="auto"/>
              </w:rPr>
            </w:pPr>
            <w:r>
              <w:rPr>
                <w:color w:val="auto"/>
              </w:rPr>
              <w:t>1</w:t>
            </w:r>
            <w:r>
              <w:rPr>
                <w:rFonts w:hAnsi="宋体"/>
                <w:color w:val="auto"/>
              </w:rPr>
              <w:t>）原辅料</w:t>
            </w:r>
            <w:r>
              <w:rPr>
                <w:rFonts w:hint="eastAsia" w:hAnsi="宋体"/>
                <w:color w:val="auto"/>
              </w:rPr>
              <w:t>储存</w:t>
            </w:r>
          </w:p>
          <w:p>
            <w:pPr>
              <w:ind w:firstLine="480"/>
              <w:rPr>
                <w:rFonts w:hint="eastAsia" w:hAnsi="宋体"/>
                <w:color w:val="auto"/>
              </w:rPr>
            </w:pPr>
            <w:r>
              <w:rPr>
                <w:rFonts w:hint="eastAsia" w:hAnsi="宋体"/>
                <w:color w:val="auto"/>
              </w:rPr>
              <w:t>砂、石分别通过有遮盖的材料车运送进厂区内的原料堆场内，原料堆场采用彩钢进行全封闭，在原料堆场四周及顶部设置一定数量的固定式喷雾降尘装置。</w:t>
            </w:r>
            <w:r>
              <w:rPr>
                <w:rFonts w:hAnsi="宋体"/>
                <w:color w:val="auto"/>
              </w:rPr>
              <w:t>水泥、 粉煤灰由全密闭罐车运送进厂区内，用螺杆</w:t>
            </w:r>
            <w:r>
              <w:rPr>
                <w:rFonts w:hint="eastAsia" w:hAnsi="宋体"/>
                <w:color w:val="auto"/>
              </w:rPr>
              <w:t>输送机</w:t>
            </w:r>
            <w:r>
              <w:rPr>
                <w:rFonts w:hAnsi="宋体"/>
                <w:color w:val="auto"/>
              </w:rPr>
              <w:t>送入对应筒仓中储存</w:t>
            </w:r>
            <w:r>
              <w:rPr>
                <w:rFonts w:hint="eastAsia" w:hAnsi="宋体"/>
                <w:color w:val="auto"/>
              </w:rPr>
              <w:t>。</w:t>
            </w:r>
          </w:p>
          <w:p>
            <w:pPr>
              <w:ind w:firstLine="480"/>
              <w:rPr>
                <w:color w:val="auto"/>
              </w:rPr>
            </w:pPr>
            <w:r>
              <w:rPr>
                <w:color w:val="auto"/>
              </w:rPr>
              <w:t>2</w:t>
            </w:r>
            <w:r>
              <w:rPr>
                <w:rFonts w:hAnsi="宋体"/>
                <w:color w:val="auto"/>
              </w:rPr>
              <w:t>）</w:t>
            </w:r>
            <w:r>
              <w:rPr>
                <w:rFonts w:hint="eastAsia" w:hAnsi="宋体"/>
                <w:color w:val="auto"/>
              </w:rPr>
              <w:t>物料配料及储运</w:t>
            </w:r>
          </w:p>
          <w:p>
            <w:pPr>
              <w:ind w:firstLine="480"/>
              <w:rPr>
                <w:rFonts w:hint="eastAsia" w:hAnsi="宋体"/>
                <w:color w:val="auto"/>
              </w:rPr>
            </w:pPr>
            <w:r>
              <w:rPr>
                <w:rFonts w:hint="eastAsia" w:hAnsi="宋体"/>
                <w:color w:val="auto"/>
              </w:rPr>
              <w:t>砂、石的配料系统（配料机）与原料堆场设置在同一封闭车间内进行作业。机制砂和碎石采用装载机铲装运输至配料斗。配料斗设有称量计量装置，根据指令控制比例后将原料卸在传输皮带上然后运入搅拌机，传输皮带采用封闭式</w:t>
            </w:r>
            <w:r>
              <w:rPr>
                <w:rFonts w:hAnsi="宋体"/>
                <w:color w:val="auto"/>
              </w:rPr>
              <w:t>廊</w:t>
            </w:r>
            <w:r>
              <w:rPr>
                <w:rFonts w:hint="eastAsia" w:hAnsi="宋体"/>
                <w:color w:val="auto"/>
              </w:rPr>
              <w:t>道。水泥及粉煤灰通过螺旋输送机输送至计量设备，经计量后进入搅拌机；</w:t>
            </w:r>
            <w:r>
              <w:rPr>
                <w:rFonts w:hAnsi="宋体"/>
                <w:color w:val="auto"/>
              </w:rPr>
              <w:t>搅拌用水及外加剂采用压力供水及水泵上料。</w:t>
            </w:r>
          </w:p>
          <w:p>
            <w:pPr>
              <w:ind w:firstLine="480"/>
              <w:rPr>
                <w:color w:val="auto"/>
              </w:rPr>
            </w:pPr>
            <w:r>
              <w:rPr>
                <w:color w:val="auto"/>
              </w:rPr>
              <w:t>3</w:t>
            </w:r>
            <w:r>
              <w:rPr>
                <w:rFonts w:hAnsi="宋体"/>
                <w:color w:val="auto"/>
              </w:rPr>
              <w:t>）搅拌</w:t>
            </w:r>
          </w:p>
          <w:p>
            <w:pPr>
              <w:ind w:firstLine="480"/>
              <w:rPr>
                <w:color w:val="auto"/>
              </w:rPr>
            </w:pPr>
            <w:r>
              <w:rPr>
                <w:rFonts w:hAnsi="宋体"/>
                <w:color w:val="auto"/>
              </w:rPr>
              <w:t>各种原料经计量之后进入搅拌机内进行强制搅拌。搅拌过程采用电脑控制，从而保证混凝土的品质。</w:t>
            </w:r>
          </w:p>
          <w:p>
            <w:pPr>
              <w:ind w:firstLine="480"/>
              <w:rPr>
                <w:rFonts w:hint="eastAsia" w:hAnsi="宋体"/>
                <w:color w:val="auto"/>
              </w:rPr>
            </w:pPr>
            <w:r>
              <w:rPr>
                <w:rFonts w:hAnsi="宋体"/>
                <w:color w:val="auto"/>
              </w:rPr>
              <w:t>搅拌机工作原理：在搅拌机内相互反转的两根搅拌轴的搅拌下，受到桨片周向、径向、轴向力的作用，使物料一边相互产生挤压、摩擦、剪切、对流从而进行强烈的拌合，一边向出料口推移，当物料到达机内的出料口时，各种物料已相互得到均匀的拌合，并具有压实所需要的含水量。</w:t>
            </w:r>
          </w:p>
          <w:p>
            <w:pPr>
              <w:ind w:firstLine="480"/>
              <w:rPr>
                <w:color w:val="auto"/>
              </w:rPr>
            </w:pPr>
            <w:r>
              <w:rPr>
                <w:rFonts w:hAnsi="宋体"/>
                <w:color w:val="auto"/>
              </w:rPr>
              <w:t>搅拌机定期用清水进行内部冲洗，其废水排入三级沉淀池，沉淀处理后的水作为拌合用水回用于搅拌机，不外排。</w:t>
            </w:r>
          </w:p>
          <w:p>
            <w:pPr>
              <w:ind w:firstLine="480"/>
              <w:rPr>
                <w:color w:val="auto"/>
              </w:rPr>
            </w:pPr>
            <w:r>
              <w:rPr>
                <w:color w:val="auto"/>
              </w:rPr>
              <w:t>4</w:t>
            </w:r>
            <w:r>
              <w:rPr>
                <w:rFonts w:hAnsi="宋体"/>
                <w:color w:val="auto"/>
              </w:rPr>
              <w:t>）成品</w:t>
            </w:r>
          </w:p>
          <w:p>
            <w:pPr>
              <w:ind w:firstLine="480"/>
              <w:rPr>
                <w:color w:val="auto"/>
              </w:rPr>
            </w:pPr>
            <w:r>
              <w:rPr>
                <w:rFonts w:hAnsi="宋体"/>
                <w:color w:val="auto"/>
              </w:rPr>
              <w:t>生产出的混凝土成品由混凝土运输</w:t>
            </w:r>
            <w:r>
              <w:rPr>
                <w:rFonts w:hint="eastAsia" w:hAnsi="宋体"/>
                <w:color w:val="auto"/>
              </w:rPr>
              <w:t>罐</w:t>
            </w:r>
            <w:r>
              <w:rPr>
                <w:rFonts w:hAnsi="宋体"/>
                <w:color w:val="auto"/>
              </w:rPr>
              <w:t>车直接装运，送往施工工地。</w:t>
            </w:r>
          </w:p>
          <w:p>
            <w:pPr>
              <w:ind w:firstLine="480"/>
              <w:rPr>
                <w:color w:val="auto"/>
              </w:rPr>
            </w:pPr>
            <w:r>
              <w:rPr>
                <w:rFonts w:hAnsi="宋体"/>
                <w:color w:val="auto"/>
              </w:rPr>
              <w:t>混凝土运输</w:t>
            </w:r>
            <w:r>
              <w:rPr>
                <w:rFonts w:hint="eastAsia" w:hAnsi="宋体"/>
                <w:color w:val="auto"/>
              </w:rPr>
              <w:t>罐</w:t>
            </w:r>
            <w:r>
              <w:rPr>
                <w:rFonts w:hAnsi="宋体"/>
                <w:color w:val="auto"/>
              </w:rPr>
              <w:t>车用清水进行内部冲洗，其废水排入沉淀池处理后的水作为拌合用水回用于搅拌机，不外排。</w:t>
            </w:r>
          </w:p>
          <w:p>
            <w:pPr>
              <w:ind w:firstLine="480"/>
              <w:rPr>
                <w:color w:val="auto"/>
              </w:rPr>
            </w:pPr>
          </w:p>
          <w:p>
            <w:pPr>
              <w:snapToGrid w:val="0"/>
              <w:ind w:firstLine="0" w:firstLineChars="0"/>
              <w:rPr>
                <w:b/>
                <w:color w:val="auto"/>
              </w:rPr>
            </w:pPr>
            <w:r>
              <w:rPr>
                <w:rFonts w:hint="eastAsia"/>
                <w:b/>
                <w:color w:val="auto"/>
              </w:rPr>
              <w:drawing>
                <wp:inline distT="0" distB="0" distL="114300" distR="114300">
                  <wp:extent cx="5305425" cy="6496685"/>
                  <wp:effectExtent l="0" t="0" r="9525" b="1841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0"/>
                          <a:stretch>
                            <a:fillRect/>
                          </a:stretch>
                        </pic:blipFill>
                        <pic:spPr>
                          <a:xfrm>
                            <a:off x="0" y="0"/>
                            <a:ext cx="5305425" cy="6496685"/>
                          </a:xfrm>
                          <a:prstGeom prst="rect">
                            <a:avLst/>
                          </a:prstGeom>
                          <a:noFill/>
                          <a:ln>
                            <a:noFill/>
                          </a:ln>
                        </pic:spPr>
                      </pic:pic>
                    </a:graphicData>
                  </a:graphic>
                </wp:inline>
              </w:drawing>
            </w:r>
          </w:p>
          <w:p>
            <w:pPr>
              <w:spacing w:before="60" w:beforeLines="25"/>
              <w:ind w:firstLine="0" w:firstLineChars="0"/>
              <w:jc w:val="center"/>
              <w:rPr>
                <w:color w:val="auto"/>
              </w:rPr>
            </w:pPr>
            <w:r>
              <w:rPr>
                <w:rFonts w:hint="eastAsia" w:hAnsi="宋体"/>
                <w:b/>
                <w:color w:val="auto"/>
              </w:rPr>
              <w:t>图2</w:t>
            </w:r>
            <w:r>
              <w:rPr>
                <w:rFonts w:hint="eastAsia"/>
                <w:color w:val="auto"/>
              </w:rPr>
              <w:t xml:space="preserve"> </w:t>
            </w:r>
            <w:r>
              <w:rPr>
                <w:rFonts w:hint="eastAsia" w:hAnsi="宋体"/>
                <w:b/>
                <w:color w:val="auto"/>
              </w:rPr>
              <w:t xml:space="preserve"> 项目生产工艺流程及产污环节框图</w:t>
            </w:r>
          </w:p>
          <w:p>
            <w:pPr>
              <w:pStyle w:val="4"/>
              <w:snapToGrid w:val="0"/>
              <w:rPr>
                <w:color w:val="auto"/>
                <w:lang w:val="zh-CN"/>
              </w:rPr>
            </w:pPr>
            <w:r>
              <w:rPr>
                <w:rFonts w:hint="eastAsia"/>
                <w:color w:val="auto"/>
              </w:rPr>
              <w:t>3产污</w:t>
            </w:r>
            <w:r>
              <w:rPr>
                <w:rFonts w:hint="eastAsia"/>
                <w:color w:val="auto"/>
                <w:lang w:val="zh-CN"/>
              </w:rPr>
              <w:t>节点及污染因子分析</w:t>
            </w:r>
          </w:p>
          <w:p>
            <w:pPr>
              <w:adjustRightInd w:val="0"/>
              <w:snapToGrid w:val="0"/>
              <w:ind w:firstLine="482"/>
              <w:jc w:val="left"/>
              <w:textAlignment w:val="baseline"/>
              <w:rPr>
                <w:b/>
                <w:bCs/>
                <w:color w:val="auto"/>
              </w:rPr>
            </w:pPr>
            <w:r>
              <w:rPr>
                <w:rFonts w:hint="eastAsia"/>
                <w:b/>
                <w:bCs/>
                <w:color w:val="auto"/>
              </w:rPr>
              <w:t>3.1施工期产污环节</w:t>
            </w:r>
          </w:p>
          <w:p>
            <w:pPr>
              <w:ind w:firstLine="480"/>
              <w:rPr>
                <w:color w:val="auto"/>
                <w:kern w:val="0"/>
              </w:rPr>
            </w:pPr>
            <w:r>
              <w:rPr>
                <w:rFonts w:hint="eastAsia"/>
                <w:color w:val="auto"/>
              </w:rPr>
              <w:t>施工期产物环节主要为设备安装：焊接废气、噪声、</w:t>
            </w:r>
            <w:r>
              <w:rPr>
                <w:rFonts w:hint="eastAsia"/>
                <w:color w:val="auto"/>
                <w:kern w:val="0"/>
              </w:rPr>
              <w:t>边角料、废包装材料（</w:t>
            </w:r>
            <w:r>
              <w:rPr>
                <w:rFonts w:hint="eastAsia"/>
                <w:color w:val="auto"/>
              </w:rPr>
              <w:t>一般固体废物</w:t>
            </w:r>
            <w:r>
              <w:rPr>
                <w:rFonts w:hint="eastAsia"/>
                <w:color w:val="auto"/>
                <w:kern w:val="0"/>
              </w:rPr>
              <w:t>）、生活污水及生活垃圾。</w:t>
            </w:r>
          </w:p>
          <w:p>
            <w:pPr>
              <w:ind w:firstLine="482"/>
              <w:rPr>
                <w:b/>
                <w:bCs/>
                <w:color w:val="auto"/>
              </w:rPr>
            </w:pPr>
            <w:r>
              <w:rPr>
                <w:rFonts w:hint="eastAsia"/>
                <w:b/>
                <w:bCs/>
                <w:color w:val="auto"/>
              </w:rPr>
              <w:t>3.2运营期产污环节</w:t>
            </w:r>
          </w:p>
          <w:p>
            <w:pPr>
              <w:numPr>
                <w:ilvl w:val="0"/>
                <w:numId w:val="5"/>
              </w:numPr>
              <w:ind w:left="96" w:firstLine="482"/>
              <w:jc w:val="center"/>
              <w:rPr>
                <w:b/>
                <w:color w:val="auto"/>
              </w:rPr>
            </w:pPr>
            <w:r>
              <w:rPr>
                <w:b/>
                <w:color w:val="auto"/>
              </w:rPr>
              <w:t>产污</w:t>
            </w:r>
            <w:r>
              <w:rPr>
                <w:rFonts w:hint="eastAsia" w:ascii="宋体" w:hAnsi="宋体"/>
                <w:b/>
                <w:color w:val="auto"/>
              </w:rPr>
              <w:t>环节</w:t>
            </w:r>
            <w:r>
              <w:rPr>
                <w:b/>
                <w:color w:val="auto"/>
              </w:rPr>
              <w:t>一览表</w:t>
            </w:r>
          </w:p>
          <w:tbl>
            <w:tblPr>
              <w:tblStyle w:val="3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71"/>
              <w:gridCol w:w="2155"/>
              <w:gridCol w:w="3335"/>
              <w:gridCol w:w="22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401" w:type="pct"/>
                  <w:tcBorders>
                    <w:tl2br w:val="nil"/>
                    <w:tr2bl w:val="nil"/>
                  </w:tcBorders>
                  <w:vAlign w:val="center"/>
                </w:tcPr>
                <w:p>
                  <w:pPr>
                    <w:pStyle w:val="54"/>
                    <w:adjustRightInd/>
                    <w:snapToGrid/>
                    <w:spacing w:line="240" w:lineRule="atLeast"/>
                    <w:rPr>
                      <w:b/>
                      <w:color w:val="auto"/>
                    </w:rPr>
                  </w:pPr>
                  <w:r>
                    <w:rPr>
                      <w:b/>
                      <w:color w:val="auto"/>
                    </w:rPr>
                    <w:t>污染物类型</w:t>
                  </w:r>
                </w:p>
              </w:tc>
              <w:tc>
                <w:tcPr>
                  <w:tcW w:w="1287" w:type="pct"/>
                  <w:tcBorders>
                    <w:tl2br w:val="nil"/>
                    <w:tr2bl w:val="nil"/>
                  </w:tcBorders>
                  <w:vAlign w:val="center"/>
                </w:tcPr>
                <w:p>
                  <w:pPr>
                    <w:pStyle w:val="54"/>
                    <w:adjustRightInd/>
                    <w:snapToGrid/>
                    <w:spacing w:line="240" w:lineRule="atLeast"/>
                    <w:rPr>
                      <w:b/>
                      <w:color w:val="auto"/>
                    </w:rPr>
                  </w:pPr>
                  <w:r>
                    <w:rPr>
                      <w:rFonts w:hint="eastAsia"/>
                      <w:b/>
                      <w:color w:val="auto"/>
                    </w:rPr>
                    <w:t>产污位置</w:t>
                  </w:r>
                </w:p>
              </w:tc>
              <w:tc>
                <w:tcPr>
                  <w:tcW w:w="1992" w:type="pct"/>
                  <w:tcBorders>
                    <w:tl2br w:val="nil"/>
                    <w:tr2bl w:val="nil"/>
                  </w:tcBorders>
                  <w:vAlign w:val="center"/>
                </w:tcPr>
                <w:p>
                  <w:pPr>
                    <w:pStyle w:val="54"/>
                    <w:adjustRightInd/>
                    <w:snapToGrid/>
                    <w:spacing w:line="240" w:lineRule="atLeast"/>
                    <w:rPr>
                      <w:b/>
                      <w:color w:val="auto"/>
                    </w:rPr>
                  </w:pPr>
                  <w:r>
                    <w:rPr>
                      <w:b/>
                      <w:color w:val="auto"/>
                    </w:rPr>
                    <w:t>产污环节</w:t>
                  </w:r>
                </w:p>
              </w:tc>
              <w:tc>
                <w:tcPr>
                  <w:tcW w:w="1317" w:type="pct"/>
                  <w:tcBorders>
                    <w:tl2br w:val="nil"/>
                    <w:tr2bl w:val="nil"/>
                  </w:tcBorders>
                  <w:vAlign w:val="center"/>
                </w:tcPr>
                <w:p>
                  <w:pPr>
                    <w:pStyle w:val="54"/>
                    <w:adjustRightInd/>
                    <w:snapToGrid/>
                    <w:spacing w:line="240" w:lineRule="atLeast"/>
                    <w:rPr>
                      <w:b/>
                      <w:color w:val="auto"/>
                    </w:rPr>
                  </w:pPr>
                  <w:r>
                    <w:rPr>
                      <w:b/>
                      <w:color w:val="auto"/>
                    </w:rPr>
                    <w:t>污染物种类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401" w:type="pct"/>
                  <w:vMerge w:val="restart"/>
                  <w:tcBorders>
                    <w:tl2br w:val="nil"/>
                    <w:tr2bl w:val="nil"/>
                  </w:tcBorders>
                  <w:vAlign w:val="center"/>
                </w:tcPr>
                <w:p>
                  <w:pPr>
                    <w:pStyle w:val="54"/>
                    <w:adjustRightInd/>
                    <w:snapToGrid/>
                    <w:spacing w:line="240" w:lineRule="atLeast"/>
                    <w:rPr>
                      <w:color w:val="auto"/>
                    </w:rPr>
                  </w:pPr>
                  <w:r>
                    <w:rPr>
                      <w:color w:val="auto"/>
                    </w:rPr>
                    <w:t>废气</w:t>
                  </w:r>
                </w:p>
              </w:tc>
              <w:tc>
                <w:tcPr>
                  <w:tcW w:w="1287" w:type="pct"/>
                  <w:tcBorders>
                    <w:tl2br w:val="nil"/>
                    <w:tr2bl w:val="nil"/>
                  </w:tcBorders>
                  <w:vAlign w:val="center"/>
                </w:tcPr>
                <w:p>
                  <w:pPr>
                    <w:ind w:firstLine="0" w:firstLineChars="0"/>
                    <w:jc w:val="center"/>
                    <w:rPr>
                      <w:color w:val="auto"/>
                      <w:sz w:val="21"/>
                      <w:szCs w:val="21"/>
                    </w:rPr>
                  </w:pPr>
                  <w:r>
                    <w:rPr>
                      <w:rFonts w:hint="eastAsia"/>
                      <w:color w:val="auto"/>
                      <w:sz w:val="21"/>
                      <w:szCs w:val="21"/>
                    </w:rPr>
                    <w:t>厂区道路</w:t>
                  </w:r>
                </w:p>
              </w:tc>
              <w:tc>
                <w:tcPr>
                  <w:tcW w:w="1992" w:type="pct"/>
                  <w:tcBorders>
                    <w:tl2br w:val="nil"/>
                    <w:tr2bl w:val="nil"/>
                  </w:tcBorders>
                  <w:vAlign w:val="center"/>
                </w:tcPr>
                <w:p>
                  <w:pPr>
                    <w:ind w:firstLine="0" w:firstLineChars="0"/>
                    <w:jc w:val="center"/>
                    <w:rPr>
                      <w:color w:val="auto"/>
                      <w:sz w:val="21"/>
                      <w:szCs w:val="21"/>
                    </w:rPr>
                  </w:pPr>
                  <w:r>
                    <w:rPr>
                      <w:rFonts w:hint="eastAsia"/>
                      <w:color w:val="auto"/>
                      <w:sz w:val="21"/>
                      <w:szCs w:val="21"/>
                    </w:rPr>
                    <w:t>车辆运输粉尘</w:t>
                  </w:r>
                </w:p>
              </w:tc>
              <w:tc>
                <w:tcPr>
                  <w:tcW w:w="1317" w:type="pct"/>
                  <w:tcBorders>
                    <w:tl2br w:val="nil"/>
                    <w:tr2bl w:val="nil"/>
                  </w:tcBorders>
                  <w:vAlign w:val="center"/>
                </w:tcPr>
                <w:p>
                  <w:pPr>
                    <w:ind w:firstLine="0" w:firstLineChars="0"/>
                    <w:jc w:val="center"/>
                    <w:rPr>
                      <w:color w:val="auto"/>
                      <w:sz w:val="21"/>
                      <w:szCs w:val="21"/>
                    </w:rPr>
                  </w:pPr>
                  <w:r>
                    <w:rPr>
                      <w:rFonts w:hint="eastAsia"/>
                      <w:color w:val="auto"/>
                      <w:sz w:val="21"/>
                      <w:szCs w:val="21"/>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401" w:type="pct"/>
                  <w:vMerge w:val="continue"/>
                  <w:tcBorders>
                    <w:tl2br w:val="nil"/>
                    <w:tr2bl w:val="nil"/>
                  </w:tcBorders>
                  <w:vAlign w:val="center"/>
                </w:tcPr>
                <w:p>
                  <w:pPr>
                    <w:pStyle w:val="54"/>
                    <w:adjustRightInd/>
                    <w:snapToGrid/>
                    <w:spacing w:line="240" w:lineRule="atLeast"/>
                    <w:rPr>
                      <w:color w:val="auto"/>
                    </w:rPr>
                  </w:pPr>
                </w:p>
              </w:tc>
              <w:tc>
                <w:tcPr>
                  <w:tcW w:w="1287" w:type="pct"/>
                  <w:tcBorders>
                    <w:tl2br w:val="nil"/>
                    <w:tr2bl w:val="nil"/>
                  </w:tcBorders>
                  <w:vAlign w:val="center"/>
                </w:tcPr>
                <w:p>
                  <w:pPr>
                    <w:ind w:firstLine="0" w:firstLineChars="0"/>
                    <w:jc w:val="center"/>
                    <w:rPr>
                      <w:color w:val="auto"/>
                      <w:sz w:val="21"/>
                      <w:szCs w:val="21"/>
                    </w:rPr>
                  </w:pPr>
                  <w:r>
                    <w:rPr>
                      <w:rFonts w:hint="eastAsia"/>
                      <w:color w:val="auto"/>
                      <w:sz w:val="21"/>
                      <w:szCs w:val="21"/>
                    </w:rPr>
                    <w:t>原料堆场</w:t>
                  </w:r>
                </w:p>
              </w:tc>
              <w:tc>
                <w:tcPr>
                  <w:tcW w:w="1992" w:type="pct"/>
                  <w:tcBorders>
                    <w:tl2br w:val="nil"/>
                    <w:tr2bl w:val="nil"/>
                  </w:tcBorders>
                  <w:vAlign w:val="center"/>
                </w:tcPr>
                <w:p>
                  <w:pPr>
                    <w:ind w:firstLine="0" w:firstLineChars="0"/>
                    <w:jc w:val="center"/>
                    <w:rPr>
                      <w:color w:val="auto"/>
                      <w:sz w:val="21"/>
                      <w:szCs w:val="21"/>
                    </w:rPr>
                  </w:pPr>
                  <w:r>
                    <w:rPr>
                      <w:rFonts w:hint="eastAsia"/>
                      <w:color w:val="auto"/>
                      <w:sz w:val="21"/>
                      <w:szCs w:val="21"/>
                    </w:rPr>
                    <w:t>砂石料装卸及运输扬尘</w:t>
                  </w:r>
                </w:p>
              </w:tc>
              <w:tc>
                <w:tcPr>
                  <w:tcW w:w="1317" w:type="pct"/>
                  <w:tcBorders>
                    <w:tl2br w:val="nil"/>
                    <w:tr2bl w:val="nil"/>
                  </w:tcBorders>
                  <w:vAlign w:val="center"/>
                </w:tcPr>
                <w:p>
                  <w:pPr>
                    <w:ind w:firstLine="0" w:firstLineChars="0"/>
                    <w:jc w:val="center"/>
                    <w:rPr>
                      <w:color w:val="auto"/>
                      <w:sz w:val="21"/>
                      <w:szCs w:val="21"/>
                    </w:rPr>
                  </w:pPr>
                  <w:r>
                    <w:rPr>
                      <w:rFonts w:hint="eastAsia"/>
                      <w:color w:val="auto"/>
                      <w:sz w:val="21"/>
                      <w:szCs w:val="21"/>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401" w:type="pct"/>
                  <w:vMerge w:val="continue"/>
                  <w:tcBorders>
                    <w:tl2br w:val="nil"/>
                    <w:tr2bl w:val="nil"/>
                  </w:tcBorders>
                  <w:vAlign w:val="center"/>
                </w:tcPr>
                <w:p>
                  <w:pPr>
                    <w:pStyle w:val="54"/>
                    <w:adjustRightInd/>
                    <w:snapToGrid/>
                    <w:spacing w:line="240" w:lineRule="atLeast"/>
                    <w:rPr>
                      <w:color w:val="auto"/>
                    </w:rPr>
                  </w:pPr>
                </w:p>
              </w:tc>
              <w:tc>
                <w:tcPr>
                  <w:tcW w:w="1287" w:type="pct"/>
                  <w:tcBorders>
                    <w:tl2br w:val="nil"/>
                    <w:tr2bl w:val="nil"/>
                  </w:tcBorders>
                  <w:vAlign w:val="center"/>
                </w:tcPr>
                <w:p>
                  <w:pPr>
                    <w:ind w:firstLine="0" w:firstLineChars="0"/>
                    <w:jc w:val="center"/>
                    <w:rPr>
                      <w:color w:val="auto"/>
                      <w:sz w:val="21"/>
                      <w:szCs w:val="21"/>
                    </w:rPr>
                  </w:pPr>
                  <w:r>
                    <w:rPr>
                      <w:rFonts w:hint="eastAsia"/>
                      <w:color w:val="auto"/>
                      <w:sz w:val="21"/>
                      <w:szCs w:val="21"/>
                    </w:rPr>
                    <w:t>配料机及皮带输送机</w:t>
                  </w:r>
                </w:p>
              </w:tc>
              <w:tc>
                <w:tcPr>
                  <w:tcW w:w="1992" w:type="pct"/>
                  <w:tcBorders>
                    <w:tl2br w:val="nil"/>
                    <w:tr2bl w:val="nil"/>
                  </w:tcBorders>
                  <w:vAlign w:val="center"/>
                </w:tcPr>
                <w:p>
                  <w:pPr>
                    <w:ind w:firstLine="0" w:firstLineChars="0"/>
                    <w:jc w:val="center"/>
                    <w:rPr>
                      <w:color w:val="auto"/>
                      <w:sz w:val="21"/>
                      <w:szCs w:val="21"/>
                    </w:rPr>
                  </w:pPr>
                  <w:r>
                    <w:rPr>
                      <w:rFonts w:hint="eastAsia"/>
                      <w:color w:val="auto"/>
                      <w:sz w:val="21"/>
                      <w:szCs w:val="21"/>
                    </w:rPr>
                    <w:t>砂石上料及转运过程粉尘</w:t>
                  </w:r>
                </w:p>
              </w:tc>
              <w:tc>
                <w:tcPr>
                  <w:tcW w:w="1317" w:type="pct"/>
                  <w:tcBorders>
                    <w:tl2br w:val="nil"/>
                    <w:tr2bl w:val="nil"/>
                  </w:tcBorders>
                  <w:vAlign w:val="center"/>
                </w:tcPr>
                <w:p>
                  <w:pPr>
                    <w:ind w:firstLine="0" w:firstLineChars="0"/>
                    <w:jc w:val="center"/>
                    <w:rPr>
                      <w:color w:val="auto"/>
                      <w:sz w:val="21"/>
                      <w:szCs w:val="21"/>
                    </w:rPr>
                  </w:pPr>
                  <w:r>
                    <w:rPr>
                      <w:rFonts w:hint="eastAsia"/>
                      <w:color w:val="auto"/>
                      <w:sz w:val="21"/>
                      <w:szCs w:val="21"/>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401" w:type="pct"/>
                  <w:vMerge w:val="continue"/>
                  <w:tcBorders>
                    <w:tl2br w:val="nil"/>
                    <w:tr2bl w:val="nil"/>
                  </w:tcBorders>
                  <w:vAlign w:val="center"/>
                </w:tcPr>
                <w:p>
                  <w:pPr>
                    <w:pStyle w:val="54"/>
                    <w:adjustRightInd/>
                    <w:snapToGrid/>
                    <w:spacing w:line="240" w:lineRule="atLeast"/>
                    <w:rPr>
                      <w:color w:val="auto"/>
                    </w:rPr>
                  </w:pPr>
                </w:p>
              </w:tc>
              <w:tc>
                <w:tcPr>
                  <w:tcW w:w="1287" w:type="pct"/>
                  <w:tcBorders>
                    <w:tl2br w:val="nil"/>
                    <w:tr2bl w:val="nil"/>
                  </w:tcBorders>
                  <w:vAlign w:val="center"/>
                </w:tcPr>
                <w:p>
                  <w:pPr>
                    <w:ind w:firstLine="0" w:firstLineChars="0"/>
                    <w:jc w:val="center"/>
                    <w:rPr>
                      <w:color w:val="auto"/>
                      <w:sz w:val="21"/>
                      <w:szCs w:val="21"/>
                    </w:rPr>
                  </w:pPr>
                  <w:r>
                    <w:rPr>
                      <w:rFonts w:hint="eastAsia"/>
                      <w:color w:val="auto"/>
                      <w:sz w:val="21"/>
                      <w:szCs w:val="21"/>
                    </w:rPr>
                    <w:t>搅拌主机</w:t>
                  </w:r>
                </w:p>
              </w:tc>
              <w:tc>
                <w:tcPr>
                  <w:tcW w:w="1992" w:type="pct"/>
                  <w:tcBorders>
                    <w:tl2br w:val="nil"/>
                    <w:tr2bl w:val="nil"/>
                  </w:tcBorders>
                  <w:vAlign w:val="center"/>
                </w:tcPr>
                <w:p>
                  <w:pPr>
                    <w:ind w:firstLine="0" w:firstLineChars="0"/>
                    <w:jc w:val="center"/>
                    <w:rPr>
                      <w:color w:val="auto"/>
                      <w:sz w:val="21"/>
                      <w:szCs w:val="21"/>
                    </w:rPr>
                  </w:pPr>
                  <w:r>
                    <w:rPr>
                      <w:rFonts w:hint="eastAsia"/>
                      <w:color w:val="auto"/>
                      <w:sz w:val="21"/>
                      <w:szCs w:val="21"/>
                    </w:rPr>
                    <w:t>搅拌粉尘</w:t>
                  </w:r>
                </w:p>
              </w:tc>
              <w:tc>
                <w:tcPr>
                  <w:tcW w:w="1317" w:type="pct"/>
                  <w:tcBorders>
                    <w:tl2br w:val="nil"/>
                    <w:tr2bl w:val="nil"/>
                  </w:tcBorders>
                  <w:vAlign w:val="center"/>
                </w:tcPr>
                <w:p>
                  <w:pPr>
                    <w:ind w:firstLine="0" w:firstLineChars="0"/>
                    <w:jc w:val="center"/>
                    <w:rPr>
                      <w:color w:val="auto"/>
                      <w:sz w:val="21"/>
                      <w:szCs w:val="21"/>
                    </w:rPr>
                  </w:pPr>
                  <w:r>
                    <w:rPr>
                      <w:rFonts w:hint="eastAsia"/>
                      <w:color w:val="auto"/>
                      <w:sz w:val="21"/>
                      <w:szCs w:val="21"/>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401" w:type="pct"/>
                  <w:vMerge w:val="continue"/>
                  <w:tcBorders>
                    <w:tl2br w:val="nil"/>
                    <w:tr2bl w:val="nil"/>
                  </w:tcBorders>
                  <w:vAlign w:val="center"/>
                </w:tcPr>
                <w:p>
                  <w:pPr>
                    <w:pStyle w:val="54"/>
                    <w:adjustRightInd/>
                    <w:snapToGrid/>
                    <w:spacing w:line="240" w:lineRule="atLeast"/>
                    <w:rPr>
                      <w:color w:val="auto"/>
                    </w:rPr>
                  </w:pPr>
                </w:p>
              </w:tc>
              <w:tc>
                <w:tcPr>
                  <w:tcW w:w="1287" w:type="pct"/>
                  <w:tcBorders>
                    <w:tl2br w:val="nil"/>
                    <w:tr2bl w:val="nil"/>
                  </w:tcBorders>
                  <w:vAlign w:val="center"/>
                </w:tcPr>
                <w:p>
                  <w:pPr>
                    <w:ind w:firstLine="0" w:firstLineChars="0"/>
                    <w:jc w:val="center"/>
                    <w:rPr>
                      <w:color w:val="auto"/>
                      <w:sz w:val="21"/>
                      <w:szCs w:val="21"/>
                    </w:rPr>
                  </w:pPr>
                  <w:r>
                    <w:rPr>
                      <w:rFonts w:hint="eastAsia"/>
                      <w:color w:val="auto"/>
                      <w:sz w:val="21"/>
                      <w:szCs w:val="21"/>
                    </w:rPr>
                    <w:t>筒仓</w:t>
                  </w:r>
                </w:p>
              </w:tc>
              <w:tc>
                <w:tcPr>
                  <w:tcW w:w="1992" w:type="pct"/>
                  <w:tcBorders>
                    <w:tl2br w:val="nil"/>
                    <w:tr2bl w:val="nil"/>
                  </w:tcBorders>
                  <w:vAlign w:val="center"/>
                </w:tcPr>
                <w:p>
                  <w:pPr>
                    <w:ind w:firstLine="0" w:firstLineChars="0"/>
                    <w:jc w:val="center"/>
                    <w:rPr>
                      <w:color w:val="auto"/>
                      <w:sz w:val="21"/>
                      <w:szCs w:val="21"/>
                    </w:rPr>
                  </w:pPr>
                  <w:r>
                    <w:rPr>
                      <w:rFonts w:hint="eastAsia"/>
                      <w:color w:val="auto"/>
                      <w:sz w:val="21"/>
                      <w:szCs w:val="21"/>
                    </w:rPr>
                    <w:t>粉料输送储存</w:t>
                  </w:r>
                </w:p>
              </w:tc>
              <w:tc>
                <w:tcPr>
                  <w:tcW w:w="1317" w:type="pct"/>
                  <w:tcBorders>
                    <w:tl2br w:val="nil"/>
                    <w:tr2bl w:val="nil"/>
                  </w:tcBorders>
                  <w:vAlign w:val="center"/>
                </w:tcPr>
                <w:p>
                  <w:pPr>
                    <w:ind w:firstLine="0" w:firstLineChars="0"/>
                    <w:jc w:val="center"/>
                    <w:rPr>
                      <w:color w:val="auto"/>
                      <w:sz w:val="21"/>
                      <w:szCs w:val="21"/>
                    </w:rPr>
                  </w:pPr>
                  <w:r>
                    <w:rPr>
                      <w:rFonts w:hint="eastAsia"/>
                      <w:color w:val="auto"/>
                      <w:sz w:val="21"/>
                      <w:szCs w:val="21"/>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401" w:type="pct"/>
                  <w:vMerge w:val="continue"/>
                  <w:tcBorders>
                    <w:tl2br w:val="nil"/>
                    <w:tr2bl w:val="nil"/>
                  </w:tcBorders>
                  <w:vAlign w:val="center"/>
                </w:tcPr>
                <w:p>
                  <w:pPr>
                    <w:pStyle w:val="54"/>
                    <w:adjustRightInd/>
                    <w:snapToGrid/>
                    <w:spacing w:line="240" w:lineRule="atLeast"/>
                    <w:rPr>
                      <w:color w:val="auto"/>
                    </w:rPr>
                  </w:pPr>
                </w:p>
              </w:tc>
              <w:tc>
                <w:tcPr>
                  <w:tcW w:w="1287" w:type="pct"/>
                  <w:tcBorders>
                    <w:tl2br w:val="nil"/>
                    <w:tr2bl w:val="nil"/>
                  </w:tcBorders>
                  <w:vAlign w:val="center"/>
                </w:tcPr>
                <w:p>
                  <w:pPr>
                    <w:ind w:firstLine="0" w:firstLineChars="0"/>
                    <w:jc w:val="center"/>
                    <w:rPr>
                      <w:color w:val="auto"/>
                      <w:sz w:val="21"/>
                      <w:szCs w:val="21"/>
                    </w:rPr>
                  </w:pPr>
                  <w:r>
                    <w:rPr>
                      <w:rFonts w:eastAsiaTheme="minorEastAsia"/>
                      <w:color w:val="auto"/>
                      <w:sz w:val="21"/>
                      <w:szCs w:val="21"/>
                    </w:rPr>
                    <w:t>骨料加热、热骨料提升、筛分、料仓</w:t>
                  </w:r>
                </w:p>
              </w:tc>
              <w:tc>
                <w:tcPr>
                  <w:tcW w:w="1992" w:type="pct"/>
                  <w:tcBorders>
                    <w:tl2br w:val="nil"/>
                    <w:tr2bl w:val="nil"/>
                  </w:tcBorders>
                  <w:vAlign w:val="center"/>
                </w:tcPr>
                <w:p>
                  <w:pPr>
                    <w:ind w:firstLine="0" w:firstLineChars="0"/>
                    <w:jc w:val="center"/>
                    <w:rPr>
                      <w:color w:val="auto"/>
                      <w:sz w:val="21"/>
                      <w:szCs w:val="21"/>
                    </w:rPr>
                  </w:pPr>
                  <w:r>
                    <w:rPr>
                      <w:rFonts w:eastAsiaTheme="minorEastAsia"/>
                      <w:color w:val="auto"/>
                      <w:sz w:val="21"/>
                      <w:szCs w:val="21"/>
                    </w:rPr>
                    <w:t>骨料加热、热骨料提升、筛分、料仓</w:t>
                  </w:r>
                </w:p>
              </w:tc>
              <w:tc>
                <w:tcPr>
                  <w:tcW w:w="1317" w:type="pct"/>
                  <w:tcBorders>
                    <w:tl2br w:val="nil"/>
                    <w:tr2bl w:val="nil"/>
                  </w:tcBorders>
                  <w:vAlign w:val="center"/>
                </w:tcPr>
                <w:p>
                  <w:pPr>
                    <w:ind w:firstLine="0" w:firstLineChars="0"/>
                    <w:jc w:val="center"/>
                    <w:rPr>
                      <w:color w:val="auto"/>
                      <w:sz w:val="21"/>
                      <w:szCs w:val="21"/>
                    </w:rPr>
                  </w:pPr>
                  <w:r>
                    <w:rPr>
                      <w:rFonts w:eastAsiaTheme="minorEastAsia"/>
                      <w:color w:val="auto"/>
                      <w:sz w:val="21"/>
                      <w:szCs w:val="21"/>
                    </w:rPr>
                    <w:t>颗粒物、SO</w:t>
                  </w:r>
                  <w:r>
                    <w:rPr>
                      <w:rFonts w:eastAsiaTheme="minorEastAsia"/>
                      <w:color w:val="auto"/>
                      <w:sz w:val="21"/>
                      <w:szCs w:val="21"/>
                      <w:vertAlign w:val="subscript"/>
                    </w:rPr>
                    <w:t>2</w:t>
                  </w:r>
                  <w:r>
                    <w:rPr>
                      <w:rFonts w:eastAsiaTheme="minorEastAsia"/>
                      <w:color w:val="auto"/>
                      <w:sz w:val="21"/>
                      <w:szCs w:val="21"/>
                    </w:rPr>
                    <w:t>、NO</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401" w:type="pct"/>
                  <w:vMerge w:val="continue"/>
                  <w:tcBorders>
                    <w:tl2br w:val="nil"/>
                    <w:tr2bl w:val="nil"/>
                  </w:tcBorders>
                  <w:vAlign w:val="center"/>
                </w:tcPr>
                <w:p>
                  <w:pPr>
                    <w:pStyle w:val="54"/>
                    <w:adjustRightInd/>
                    <w:snapToGrid/>
                    <w:spacing w:line="240" w:lineRule="atLeast"/>
                    <w:rPr>
                      <w:color w:val="auto"/>
                    </w:rPr>
                  </w:pPr>
                </w:p>
              </w:tc>
              <w:tc>
                <w:tcPr>
                  <w:tcW w:w="1287" w:type="pct"/>
                  <w:tcBorders>
                    <w:tl2br w:val="nil"/>
                    <w:tr2bl w:val="nil"/>
                  </w:tcBorders>
                  <w:vAlign w:val="center"/>
                </w:tcPr>
                <w:p>
                  <w:pPr>
                    <w:ind w:firstLine="0" w:firstLineChars="0"/>
                    <w:jc w:val="center"/>
                    <w:rPr>
                      <w:rFonts w:eastAsiaTheme="minorEastAsia"/>
                      <w:color w:val="auto"/>
                      <w:sz w:val="21"/>
                      <w:szCs w:val="21"/>
                    </w:rPr>
                  </w:pPr>
                  <w:r>
                    <w:rPr>
                      <w:rFonts w:hint="eastAsia" w:eastAsiaTheme="minorEastAsia"/>
                      <w:color w:val="auto"/>
                      <w:sz w:val="21"/>
                      <w:szCs w:val="21"/>
                    </w:rPr>
                    <w:t>沥青</w:t>
                  </w:r>
                  <w:r>
                    <w:rPr>
                      <w:rFonts w:eastAsiaTheme="minorEastAsia"/>
                      <w:color w:val="auto"/>
                      <w:sz w:val="21"/>
                      <w:szCs w:val="21"/>
                    </w:rPr>
                    <w:t>拌合机</w:t>
                  </w:r>
                </w:p>
              </w:tc>
              <w:tc>
                <w:tcPr>
                  <w:tcW w:w="1992" w:type="pct"/>
                  <w:tcBorders>
                    <w:tl2br w:val="nil"/>
                    <w:tr2bl w:val="nil"/>
                  </w:tcBorders>
                  <w:vAlign w:val="center"/>
                </w:tcPr>
                <w:p>
                  <w:pPr>
                    <w:ind w:firstLine="0" w:firstLineChars="0"/>
                    <w:jc w:val="center"/>
                    <w:rPr>
                      <w:rFonts w:eastAsiaTheme="minorEastAsia"/>
                      <w:color w:val="auto"/>
                      <w:sz w:val="21"/>
                      <w:szCs w:val="21"/>
                    </w:rPr>
                  </w:pPr>
                  <w:r>
                    <w:rPr>
                      <w:rFonts w:eastAsiaTheme="minorEastAsia"/>
                      <w:color w:val="auto"/>
                      <w:sz w:val="21"/>
                      <w:szCs w:val="21"/>
                    </w:rPr>
                    <w:t>拌合机搅拌过程</w:t>
                  </w:r>
                </w:p>
              </w:tc>
              <w:tc>
                <w:tcPr>
                  <w:tcW w:w="1317" w:type="pct"/>
                  <w:tcBorders>
                    <w:tl2br w:val="nil"/>
                    <w:tr2bl w:val="nil"/>
                  </w:tcBorders>
                  <w:vAlign w:val="center"/>
                </w:tcPr>
                <w:p>
                  <w:pPr>
                    <w:ind w:firstLine="0" w:firstLineChars="0"/>
                    <w:jc w:val="center"/>
                    <w:rPr>
                      <w:rFonts w:eastAsiaTheme="minorEastAsia"/>
                      <w:color w:val="auto"/>
                      <w:sz w:val="21"/>
                      <w:szCs w:val="21"/>
                    </w:rPr>
                  </w:pPr>
                  <w:r>
                    <w:rPr>
                      <w:rFonts w:eastAsiaTheme="minorEastAsia"/>
                      <w:color w:val="auto"/>
                      <w:sz w:val="21"/>
                      <w:szCs w:val="21"/>
                    </w:rPr>
                    <w:t>沥青烟、苯并[a]芘和颗粒物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401" w:type="pct"/>
                  <w:vMerge w:val="continue"/>
                  <w:tcBorders>
                    <w:tl2br w:val="nil"/>
                    <w:tr2bl w:val="nil"/>
                  </w:tcBorders>
                  <w:vAlign w:val="center"/>
                </w:tcPr>
                <w:p>
                  <w:pPr>
                    <w:pStyle w:val="54"/>
                    <w:adjustRightInd/>
                    <w:snapToGrid/>
                    <w:spacing w:line="240" w:lineRule="atLeast"/>
                    <w:rPr>
                      <w:color w:val="auto"/>
                    </w:rPr>
                  </w:pPr>
                </w:p>
              </w:tc>
              <w:tc>
                <w:tcPr>
                  <w:tcW w:w="1287" w:type="pct"/>
                  <w:tcBorders>
                    <w:tl2br w:val="nil"/>
                    <w:tr2bl w:val="nil"/>
                  </w:tcBorders>
                  <w:vAlign w:val="center"/>
                </w:tcPr>
                <w:p>
                  <w:pPr>
                    <w:ind w:firstLine="0" w:firstLineChars="0"/>
                    <w:jc w:val="center"/>
                    <w:rPr>
                      <w:rFonts w:eastAsiaTheme="minorEastAsia"/>
                      <w:color w:val="auto"/>
                      <w:sz w:val="21"/>
                      <w:szCs w:val="21"/>
                    </w:rPr>
                  </w:pPr>
                  <w:r>
                    <w:rPr>
                      <w:rFonts w:eastAsiaTheme="minorEastAsia"/>
                      <w:color w:val="auto"/>
                      <w:sz w:val="21"/>
                      <w:szCs w:val="21"/>
                    </w:rPr>
                    <w:t>沥青储罐</w:t>
                  </w:r>
                </w:p>
              </w:tc>
              <w:tc>
                <w:tcPr>
                  <w:tcW w:w="1992" w:type="pct"/>
                  <w:tcBorders>
                    <w:tl2br w:val="nil"/>
                    <w:tr2bl w:val="nil"/>
                  </w:tcBorders>
                  <w:vAlign w:val="center"/>
                </w:tcPr>
                <w:p>
                  <w:pPr>
                    <w:ind w:firstLine="0" w:firstLineChars="0"/>
                    <w:jc w:val="center"/>
                    <w:rPr>
                      <w:rFonts w:eastAsiaTheme="minorEastAsia"/>
                      <w:color w:val="auto"/>
                      <w:sz w:val="21"/>
                      <w:szCs w:val="21"/>
                    </w:rPr>
                  </w:pPr>
                  <w:r>
                    <w:rPr>
                      <w:rFonts w:hint="eastAsia" w:eastAsiaTheme="minorEastAsia"/>
                      <w:color w:val="auto"/>
                      <w:sz w:val="21"/>
                      <w:szCs w:val="21"/>
                    </w:rPr>
                    <w:t>加热</w:t>
                  </w:r>
                  <w:r>
                    <w:rPr>
                      <w:rFonts w:eastAsiaTheme="minorEastAsia"/>
                      <w:color w:val="auto"/>
                      <w:sz w:val="21"/>
                      <w:szCs w:val="21"/>
                    </w:rPr>
                    <w:t>排放</w:t>
                  </w:r>
                </w:p>
              </w:tc>
              <w:tc>
                <w:tcPr>
                  <w:tcW w:w="1317" w:type="pct"/>
                  <w:tcBorders>
                    <w:tl2br w:val="nil"/>
                    <w:tr2bl w:val="nil"/>
                  </w:tcBorders>
                  <w:vAlign w:val="center"/>
                </w:tcPr>
                <w:p>
                  <w:pPr>
                    <w:ind w:firstLine="0" w:firstLineChars="0"/>
                    <w:jc w:val="center"/>
                    <w:rPr>
                      <w:rFonts w:eastAsiaTheme="minorEastAsia"/>
                      <w:color w:val="auto"/>
                      <w:sz w:val="21"/>
                      <w:szCs w:val="21"/>
                    </w:rPr>
                  </w:pPr>
                  <w:r>
                    <w:rPr>
                      <w:rFonts w:eastAsiaTheme="minorEastAsia"/>
                      <w:color w:val="auto"/>
                      <w:sz w:val="21"/>
                      <w:szCs w:val="21"/>
                    </w:rPr>
                    <w:t>沥青烟</w:t>
                  </w:r>
                  <w:r>
                    <w:rPr>
                      <w:rFonts w:hint="eastAsia" w:eastAsiaTheme="minorEastAsia"/>
                      <w:color w:val="auto"/>
                      <w:sz w:val="21"/>
                      <w:szCs w:val="21"/>
                    </w:rPr>
                    <w:t>、</w:t>
                  </w:r>
                  <w:r>
                    <w:rPr>
                      <w:rFonts w:eastAsiaTheme="minorEastAsia"/>
                      <w:color w:val="auto"/>
                      <w:sz w:val="21"/>
                      <w:szCs w:val="21"/>
                    </w:rPr>
                    <w:t>苯并[a]芘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401" w:type="pct"/>
                  <w:vMerge w:val="continue"/>
                  <w:tcBorders>
                    <w:tl2br w:val="nil"/>
                    <w:tr2bl w:val="nil"/>
                  </w:tcBorders>
                  <w:vAlign w:val="center"/>
                </w:tcPr>
                <w:p>
                  <w:pPr>
                    <w:pStyle w:val="54"/>
                    <w:adjustRightInd/>
                    <w:snapToGrid/>
                    <w:spacing w:line="240" w:lineRule="atLeast"/>
                    <w:rPr>
                      <w:color w:val="auto"/>
                    </w:rPr>
                  </w:pPr>
                </w:p>
              </w:tc>
              <w:tc>
                <w:tcPr>
                  <w:tcW w:w="1287" w:type="pct"/>
                  <w:tcBorders>
                    <w:tl2br w:val="nil"/>
                    <w:tr2bl w:val="nil"/>
                  </w:tcBorders>
                  <w:vAlign w:val="center"/>
                </w:tcPr>
                <w:p>
                  <w:pPr>
                    <w:ind w:firstLine="0" w:firstLineChars="0"/>
                    <w:jc w:val="center"/>
                    <w:rPr>
                      <w:rFonts w:eastAsiaTheme="minorEastAsia"/>
                      <w:color w:val="auto"/>
                      <w:sz w:val="21"/>
                      <w:szCs w:val="21"/>
                    </w:rPr>
                  </w:pPr>
                  <w:r>
                    <w:rPr>
                      <w:rFonts w:eastAsiaTheme="minorEastAsia"/>
                      <w:color w:val="auto"/>
                      <w:sz w:val="21"/>
                      <w:szCs w:val="21"/>
                    </w:rPr>
                    <w:t>导热油炉</w:t>
                  </w:r>
                </w:p>
              </w:tc>
              <w:tc>
                <w:tcPr>
                  <w:tcW w:w="1992" w:type="pct"/>
                  <w:tcBorders>
                    <w:tl2br w:val="nil"/>
                    <w:tr2bl w:val="nil"/>
                  </w:tcBorders>
                  <w:vAlign w:val="center"/>
                </w:tcPr>
                <w:p>
                  <w:pPr>
                    <w:ind w:firstLine="0" w:firstLineChars="0"/>
                    <w:jc w:val="center"/>
                    <w:rPr>
                      <w:rFonts w:eastAsiaTheme="minorEastAsia"/>
                      <w:color w:val="auto"/>
                      <w:sz w:val="21"/>
                      <w:szCs w:val="21"/>
                    </w:rPr>
                  </w:pPr>
                  <w:r>
                    <w:rPr>
                      <w:rFonts w:hint="eastAsia" w:eastAsiaTheme="minorEastAsia"/>
                      <w:color w:val="auto"/>
                      <w:sz w:val="21"/>
                      <w:szCs w:val="21"/>
                    </w:rPr>
                    <w:t>柴油燃烧废气</w:t>
                  </w:r>
                </w:p>
              </w:tc>
              <w:tc>
                <w:tcPr>
                  <w:tcW w:w="1317" w:type="pct"/>
                  <w:tcBorders>
                    <w:tl2br w:val="nil"/>
                    <w:tr2bl w:val="nil"/>
                  </w:tcBorders>
                  <w:vAlign w:val="center"/>
                </w:tcPr>
                <w:p>
                  <w:pPr>
                    <w:ind w:firstLine="0" w:firstLineChars="0"/>
                    <w:jc w:val="center"/>
                    <w:rPr>
                      <w:rFonts w:eastAsiaTheme="minorEastAsia"/>
                      <w:color w:val="auto"/>
                      <w:sz w:val="21"/>
                      <w:szCs w:val="21"/>
                    </w:rPr>
                  </w:pPr>
                  <w:r>
                    <w:rPr>
                      <w:rFonts w:eastAsiaTheme="minorEastAsia"/>
                      <w:color w:val="auto"/>
                      <w:sz w:val="21"/>
                      <w:szCs w:val="21"/>
                    </w:rPr>
                    <w:t>颗粒物、SO</w:t>
                  </w:r>
                  <w:r>
                    <w:rPr>
                      <w:rFonts w:eastAsiaTheme="minorEastAsia"/>
                      <w:color w:val="auto"/>
                      <w:sz w:val="21"/>
                      <w:szCs w:val="21"/>
                      <w:vertAlign w:val="subscript"/>
                    </w:rPr>
                    <w:t>2</w:t>
                  </w:r>
                  <w:r>
                    <w:rPr>
                      <w:rFonts w:eastAsiaTheme="minorEastAsia"/>
                      <w:color w:val="auto"/>
                      <w:sz w:val="21"/>
                      <w:szCs w:val="21"/>
                    </w:rPr>
                    <w:t>、NO</w:t>
                  </w:r>
                  <w:r>
                    <w:rPr>
                      <w:rFonts w:eastAsiaTheme="minorEastAsia"/>
                      <w:color w:val="auto"/>
                      <w:sz w:val="21"/>
                      <w:szCs w:val="21"/>
                      <w:vertAlign w:val="subscript"/>
                    </w:rPr>
                    <w:t>x</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23" w:hRule="atLeast"/>
              </w:trPr>
              <w:tc>
                <w:tcPr>
                  <w:tcW w:w="401" w:type="pct"/>
                  <w:vMerge w:val="restart"/>
                  <w:tcBorders>
                    <w:tl2br w:val="nil"/>
                    <w:tr2bl w:val="nil"/>
                  </w:tcBorders>
                  <w:vAlign w:val="center"/>
                </w:tcPr>
                <w:p>
                  <w:pPr>
                    <w:pStyle w:val="54"/>
                    <w:adjustRightInd/>
                    <w:snapToGrid/>
                    <w:spacing w:line="240" w:lineRule="atLeast"/>
                    <w:rPr>
                      <w:color w:val="auto"/>
                    </w:rPr>
                  </w:pPr>
                  <w:r>
                    <w:rPr>
                      <w:color w:val="auto"/>
                    </w:rPr>
                    <w:t>废水</w:t>
                  </w:r>
                </w:p>
              </w:tc>
              <w:tc>
                <w:tcPr>
                  <w:tcW w:w="1287" w:type="pct"/>
                  <w:tcBorders>
                    <w:tl2br w:val="nil"/>
                    <w:tr2bl w:val="nil"/>
                  </w:tcBorders>
                  <w:vAlign w:val="center"/>
                </w:tcPr>
                <w:p>
                  <w:pPr>
                    <w:ind w:firstLine="0" w:firstLineChars="0"/>
                    <w:jc w:val="center"/>
                    <w:rPr>
                      <w:color w:val="auto"/>
                      <w:sz w:val="21"/>
                      <w:szCs w:val="21"/>
                    </w:rPr>
                  </w:pPr>
                  <w:r>
                    <w:rPr>
                      <w:rFonts w:hint="eastAsia"/>
                      <w:color w:val="auto"/>
                      <w:sz w:val="21"/>
                      <w:szCs w:val="21"/>
                    </w:rPr>
                    <w:t>厂区进出口</w:t>
                  </w:r>
                </w:p>
              </w:tc>
              <w:tc>
                <w:tcPr>
                  <w:tcW w:w="1992" w:type="pct"/>
                  <w:tcBorders>
                    <w:tl2br w:val="nil"/>
                    <w:tr2bl w:val="nil"/>
                  </w:tcBorders>
                  <w:vAlign w:val="center"/>
                </w:tcPr>
                <w:p>
                  <w:pPr>
                    <w:ind w:firstLine="0" w:firstLineChars="0"/>
                    <w:jc w:val="center"/>
                    <w:rPr>
                      <w:color w:val="auto"/>
                      <w:sz w:val="21"/>
                      <w:szCs w:val="21"/>
                    </w:rPr>
                  </w:pPr>
                  <w:r>
                    <w:rPr>
                      <w:rFonts w:hint="eastAsia"/>
                      <w:color w:val="auto"/>
                      <w:sz w:val="21"/>
                      <w:szCs w:val="21"/>
                    </w:rPr>
                    <w:t>车辆冲洗废水</w:t>
                  </w:r>
                </w:p>
              </w:tc>
              <w:tc>
                <w:tcPr>
                  <w:tcW w:w="1317" w:type="pct"/>
                  <w:tcBorders>
                    <w:tl2br w:val="nil"/>
                    <w:tr2bl w:val="nil"/>
                  </w:tcBorders>
                  <w:vAlign w:val="center"/>
                </w:tcPr>
                <w:p>
                  <w:pPr>
                    <w:ind w:firstLine="0" w:firstLineChars="0"/>
                    <w:jc w:val="center"/>
                    <w:rPr>
                      <w:color w:val="auto"/>
                      <w:sz w:val="21"/>
                      <w:szCs w:val="21"/>
                    </w:rPr>
                  </w:pPr>
                  <w:r>
                    <w:rPr>
                      <w:rFonts w:hint="eastAsia"/>
                      <w:color w:val="auto"/>
                      <w:sz w:val="21"/>
                      <w:szCs w:val="21"/>
                    </w:rPr>
                    <w:t>SS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401" w:type="pct"/>
                  <w:vMerge w:val="continue"/>
                  <w:tcBorders>
                    <w:tl2br w:val="nil"/>
                    <w:tr2bl w:val="nil"/>
                  </w:tcBorders>
                  <w:vAlign w:val="center"/>
                </w:tcPr>
                <w:p>
                  <w:pPr>
                    <w:pStyle w:val="54"/>
                    <w:adjustRightInd/>
                    <w:snapToGrid/>
                    <w:spacing w:line="240" w:lineRule="atLeast"/>
                    <w:rPr>
                      <w:color w:val="auto"/>
                    </w:rPr>
                  </w:pPr>
                </w:p>
              </w:tc>
              <w:tc>
                <w:tcPr>
                  <w:tcW w:w="1287" w:type="pct"/>
                  <w:tcBorders>
                    <w:tl2br w:val="nil"/>
                    <w:tr2bl w:val="nil"/>
                  </w:tcBorders>
                  <w:vAlign w:val="center"/>
                </w:tcPr>
                <w:p>
                  <w:pPr>
                    <w:ind w:firstLine="0" w:firstLineChars="0"/>
                    <w:jc w:val="center"/>
                    <w:rPr>
                      <w:color w:val="auto"/>
                      <w:sz w:val="21"/>
                      <w:szCs w:val="21"/>
                    </w:rPr>
                  </w:pPr>
                  <w:r>
                    <w:rPr>
                      <w:rFonts w:hint="eastAsia"/>
                      <w:color w:val="auto"/>
                      <w:sz w:val="21"/>
                      <w:szCs w:val="21"/>
                    </w:rPr>
                    <w:t>厂区地面</w:t>
                  </w:r>
                </w:p>
              </w:tc>
              <w:tc>
                <w:tcPr>
                  <w:tcW w:w="1992" w:type="pct"/>
                  <w:tcBorders>
                    <w:tl2br w:val="nil"/>
                    <w:tr2bl w:val="nil"/>
                  </w:tcBorders>
                  <w:vAlign w:val="center"/>
                </w:tcPr>
                <w:p>
                  <w:pPr>
                    <w:ind w:firstLine="0" w:firstLineChars="0"/>
                    <w:jc w:val="center"/>
                    <w:rPr>
                      <w:color w:val="auto"/>
                      <w:sz w:val="21"/>
                      <w:szCs w:val="21"/>
                    </w:rPr>
                  </w:pPr>
                  <w:r>
                    <w:rPr>
                      <w:rFonts w:hint="eastAsia"/>
                      <w:color w:val="auto"/>
                      <w:sz w:val="21"/>
                      <w:szCs w:val="21"/>
                    </w:rPr>
                    <w:t>地面冲洗废水</w:t>
                  </w:r>
                </w:p>
              </w:tc>
              <w:tc>
                <w:tcPr>
                  <w:tcW w:w="1317" w:type="pct"/>
                  <w:tcBorders>
                    <w:tl2br w:val="nil"/>
                    <w:tr2bl w:val="nil"/>
                  </w:tcBorders>
                  <w:vAlign w:val="center"/>
                </w:tcPr>
                <w:p>
                  <w:pPr>
                    <w:ind w:firstLine="0" w:firstLineChars="0"/>
                    <w:jc w:val="center"/>
                    <w:rPr>
                      <w:color w:val="auto"/>
                      <w:sz w:val="21"/>
                      <w:szCs w:val="21"/>
                    </w:rPr>
                  </w:pPr>
                  <w:r>
                    <w:rPr>
                      <w:rFonts w:hint="eastAsia"/>
                      <w:color w:val="auto"/>
                      <w:sz w:val="21"/>
                      <w:szCs w:val="21"/>
                    </w:rPr>
                    <w:t>SS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401" w:type="pct"/>
                  <w:vMerge w:val="continue"/>
                  <w:tcBorders>
                    <w:tl2br w:val="nil"/>
                    <w:tr2bl w:val="nil"/>
                  </w:tcBorders>
                  <w:vAlign w:val="center"/>
                </w:tcPr>
                <w:p>
                  <w:pPr>
                    <w:pStyle w:val="54"/>
                    <w:adjustRightInd/>
                    <w:snapToGrid/>
                    <w:spacing w:line="240" w:lineRule="atLeast"/>
                    <w:rPr>
                      <w:color w:val="auto"/>
                    </w:rPr>
                  </w:pPr>
                </w:p>
              </w:tc>
              <w:tc>
                <w:tcPr>
                  <w:tcW w:w="1287" w:type="pct"/>
                  <w:tcBorders>
                    <w:tl2br w:val="nil"/>
                    <w:tr2bl w:val="nil"/>
                  </w:tcBorders>
                  <w:vAlign w:val="center"/>
                </w:tcPr>
                <w:p>
                  <w:pPr>
                    <w:ind w:firstLine="0" w:firstLineChars="0"/>
                    <w:jc w:val="center"/>
                    <w:rPr>
                      <w:color w:val="auto"/>
                      <w:sz w:val="21"/>
                      <w:szCs w:val="21"/>
                    </w:rPr>
                  </w:pPr>
                  <w:r>
                    <w:rPr>
                      <w:rFonts w:hint="eastAsia"/>
                      <w:color w:val="auto"/>
                      <w:sz w:val="21"/>
                      <w:szCs w:val="21"/>
                    </w:rPr>
                    <w:t>搅拌主机</w:t>
                  </w:r>
                </w:p>
              </w:tc>
              <w:tc>
                <w:tcPr>
                  <w:tcW w:w="1992" w:type="pct"/>
                  <w:tcBorders>
                    <w:tl2br w:val="nil"/>
                    <w:tr2bl w:val="nil"/>
                  </w:tcBorders>
                  <w:vAlign w:val="center"/>
                </w:tcPr>
                <w:p>
                  <w:pPr>
                    <w:ind w:firstLine="0" w:firstLineChars="0"/>
                    <w:jc w:val="center"/>
                    <w:rPr>
                      <w:color w:val="auto"/>
                      <w:sz w:val="21"/>
                      <w:szCs w:val="21"/>
                    </w:rPr>
                  </w:pPr>
                  <w:r>
                    <w:rPr>
                      <w:rFonts w:hint="eastAsia"/>
                      <w:color w:val="auto"/>
                      <w:sz w:val="21"/>
                      <w:szCs w:val="21"/>
                    </w:rPr>
                    <w:t>搅拌机清洗废水</w:t>
                  </w:r>
                </w:p>
              </w:tc>
              <w:tc>
                <w:tcPr>
                  <w:tcW w:w="1317" w:type="pct"/>
                  <w:tcBorders>
                    <w:tl2br w:val="nil"/>
                    <w:tr2bl w:val="nil"/>
                  </w:tcBorders>
                  <w:vAlign w:val="center"/>
                </w:tcPr>
                <w:p>
                  <w:pPr>
                    <w:ind w:firstLine="0" w:firstLineChars="0"/>
                    <w:jc w:val="center"/>
                    <w:rPr>
                      <w:color w:val="auto"/>
                      <w:sz w:val="21"/>
                      <w:szCs w:val="21"/>
                    </w:rPr>
                  </w:pPr>
                  <w:r>
                    <w:rPr>
                      <w:rFonts w:hint="eastAsia"/>
                      <w:color w:val="auto"/>
                      <w:sz w:val="21"/>
                      <w:szCs w:val="21"/>
                    </w:rPr>
                    <w:t>SS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401" w:type="pct"/>
                  <w:vMerge w:val="continue"/>
                  <w:tcBorders>
                    <w:tl2br w:val="nil"/>
                    <w:tr2bl w:val="nil"/>
                  </w:tcBorders>
                  <w:vAlign w:val="center"/>
                </w:tcPr>
                <w:p>
                  <w:pPr>
                    <w:pStyle w:val="54"/>
                    <w:adjustRightInd/>
                    <w:snapToGrid/>
                    <w:spacing w:line="240" w:lineRule="atLeast"/>
                    <w:rPr>
                      <w:color w:val="auto"/>
                    </w:rPr>
                  </w:pPr>
                </w:p>
              </w:tc>
              <w:tc>
                <w:tcPr>
                  <w:tcW w:w="1287" w:type="pct"/>
                  <w:tcBorders>
                    <w:tl2br w:val="nil"/>
                    <w:tr2bl w:val="nil"/>
                  </w:tcBorders>
                  <w:vAlign w:val="center"/>
                </w:tcPr>
                <w:p>
                  <w:pPr>
                    <w:ind w:firstLine="0" w:firstLineChars="0"/>
                    <w:jc w:val="center"/>
                    <w:rPr>
                      <w:color w:val="auto"/>
                      <w:sz w:val="21"/>
                      <w:szCs w:val="21"/>
                    </w:rPr>
                  </w:pPr>
                  <w:r>
                    <w:rPr>
                      <w:rFonts w:hint="eastAsia"/>
                      <w:color w:val="auto"/>
                      <w:sz w:val="21"/>
                      <w:szCs w:val="21"/>
                    </w:rPr>
                    <w:t>混凝土罐车</w:t>
                  </w:r>
                </w:p>
              </w:tc>
              <w:tc>
                <w:tcPr>
                  <w:tcW w:w="1992" w:type="pct"/>
                  <w:tcBorders>
                    <w:tl2br w:val="nil"/>
                    <w:tr2bl w:val="nil"/>
                  </w:tcBorders>
                  <w:vAlign w:val="center"/>
                </w:tcPr>
                <w:p>
                  <w:pPr>
                    <w:ind w:firstLine="0" w:firstLineChars="0"/>
                    <w:jc w:val="center"/>
                    <w:rPr>
                      <w:color w:val="auto"/>
                      <w:sz w:val="21"/>
                      <w:szCs w:val="21"/>
                    </w:rPr>
                  </w:pPr>
                  <w:r>
                    <w:rPr>
                      <w:rFonts w:hint="eastAsia"/>
                      <w:color w:val="auto"/>
                      <w:sz w:val="21"/>
                      <w:szCs w:val="21"/>
                    </w:rPr>
                    <w:t>罐车清洗废水</w:t>
                  </w:r>
                </w:p>
              </w:tc>
              <w:tc>
                <w:tcPr>
                  <w:tcW w:w="1317" w:type="pct"/>
                  <w:tcBorders>
                    <w:tl2br w:val="nil"/>
                    <w:tr2bl w:val="nil"/>
                  </w:tcBorders>
                  <w:vAlign w:val="center"/>
                </w:tcPr>
                <w:p>
                  <w:pPr>
                    <w:ind w:firstLine="0" w:firstLineChars="0"/>
                    <w:jc w:val="center"/>
                    <w:rPr>
                      <w:color w:val="auto"/>
                      <w:sz w:val="21"/>
                      <w:szCs w:val="21"/>
                    </w:rPr>
                  </w:pPr>
                  <w:r>
                    <w:rPr>
                      <w:rFonts w:hint="eastAsia"/>
                      <w:color w:val="auto"/>
                      <w:sz w:val="21"/>
                      <w:szCs w:val="21"/>
                    </w:rPr>
                    <w:t>SS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401" w:type="pct"/>
                  <w:vMerge w:val="continue"/>
                  <w:tcBorders>
                    <w:tl2br w:val="nil"/>
                    <w:tr2bl w:val="nil"/>
                  </w:tcBorders>
                  <w:vAlign w:val="center"/>
                </w:tcPr>
                <w:p>
                  <w:pPr>
                    <w:pStyle w:val="54"/>
                    <w:adjustRightInd/>
                    <w:snapToGrid/>
                    <w:spacing w:line="240" w:lineRule="atLeast"/>
                    <w:rPr>
                      <w:color w:val="auto"/>
                    </w:rPr>
                  </w:pPr>
                </w:p>
              </w:tc>
              <w:tc>
                <w:tcPr>
                  <w:tcW w:w="1287" w:type="pct"/>
                  <w:tcBorders>
                    <w:tl2br w:val="nil"/>
                    <w:tr2bl w:val="nil"/>
                  </w:tcBorders>
                  <w:vAlign w:val="center"/>
                </w:tcPr>
                <w:p>
                  <w:pPr>
                    <w:ind w:firstLine="0" w:firstLineChars="0"/>
                    <w:jc w:val="center"/>
                    <w:rPr>
                      <w:color w:val="auto"/>
                      <w:sz w:val="21"/>
                      <w:szCs w:val="21"/>
                    </w:rPr>
                  </w:pPr>
                  <w:r>
                    <w:rPr>
                      <w:rFonts w:hint="eastAsia"/>
                      <w:color w:val="auto"/>
                      <w:sz w:val="21"/>
                      <w:szCs w:val="21"/>
                    </w:rPr>
                    <w:t>生活废水</w:t>
                  </w:r>
                </w:p>
              </w:tc>
              <w:tc>
                <w:tcPr>
                  <w:tcW w:w="1992" w:type="pct"/>
                  <w:tcBorders>
                    <w:tl2br w:val="nil"/>
                    <w:tr2bl w:val="nil"/>
                  </w:tcBorders>
                  <w:vAlign w:val="center"/>
                </w:tcPr>
                <w:p>
                  <w:pPr>
                    <w:ind w:firstLine="0" w:firstLineChars="0"/>
                    <w:jc w:val="center"/>
                    <w:rPr>
                      <w:color w:val="auto"/>
                      <w:sz w:val="21"/>
                      <w:szCs w:val="21"/>
                    </w:rPr>
                  </w:pPr>
                  <w:r>
                    <w:rPr>
                      <w:rFonts w:hint="eastAsia"/>
                      <w:color w:val="auto"/>
                      <w:sz w:val="21"/>
                      <w:szCs w:val="21"/>
                    </w:rPr>
                    <w:t>办公室、值班室</w:t>
                  </w:r>
                </w:p>
              </w:tc>
              <w:tc>
                <w:tcPr>
                  <w:tcW w:w="1317" w:type="pct"/>
                  <w:tcBorders>
                    <w:tl2br w:val="nil"/>
                    <w:tr2bl w:val="nil"/>
                  </w:tcBorders>
                  <w:vAlign w:val="center"/>
                </w:tcPr>
                <w:p>
                  <w:pPr>
                    <w:ind w:firstLine="0" w:firstLineChars="0"/>
                    <w:jc w:val="center"/>
                    <w:rPr>
                      <w:color w:val="auto"/>
                      <w:sz w:val="21"/>
                      <w:szCs w:val="21"/>
                    </w:rPr>
                  </w:pPr>
                  <w:r>
                    <w:rPr>
                      <w:rFonts w:hint="eastAsia"/>
                      <w:color w:val="auto"/>
                      <w:sz w:val="21"/>
                      <w:szCs w:val="21"/>
                    </w:rPr>
                    <w:t>COD、NH</w:t>
                  </w:r>
                  <w:r>
                    <w:rPr>
                      <w:rFonts w:hint="eastAsia"/>
                      <w:color w:val="auto"/>
                      <w:sz w:val="21"/>
                      <w:szCs w:val="21"/>
                      <w:vertAlign w:val="subscript"/>
                    </w:rPr>
                    <w:t>3</w:t>
                  </w:r>
                  <w:r>
                    <w:rPr>
                      <w:rFonts w:hint="eastAsia"/>
                      <w:color w:val="auto"/>
                      <w:sz w:val="21"/>
                      <w:szCs w:val="21"/>
                    </w:rPr>
                    <w:t>-N等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401" w:type="pct"/>
                  <w:tcBorders>
                    <w:tl2br w:val="nil"/>
                    <w:tr2bl w:val="nil"/>
                  </w:tcBorders>
                  <w:vAlign w:val="center"/>
                </w:tcPr>
                <w:p>
                  <w:pPr>
                    <w:pStyle w:val="54"/>
                    <w:adjustRightInd/>
                    <w:snapToGrid/>
                    <w:spacing w:line="240" w:lineRule="atLeast"/>
                    <w:rPr>
                      <w:color w:val="auto"/>
                    </w:rPr>
                  </w:pPr>
                  <w:r>
                    <w:rPr>
                      <w:color w:val="auto"/>
                    </w:rPr>
                    <w:t>噪声</w:t>
                  </w:r>
                </w:p>
              </w:tc>
              <w:tc>
                <w:tcPr>
                  <w:tcW w:w="1287" w:type="pct"/>
                  <w:tcBorders>
                    <w:tl2br w:val="nil"/>
                    <w:tr2bl w:val="nil"/>
                  </w:tcBorders>
                  <w:vAlign w:val="center"/>
                </w:tcPr>
                <w:p>
                  <w:pPr>
                    <w:ind w:firstLine="0" w:firstLineChars="0"/>
                    <w:jc w:val="center"/>
                    <w:rPr>
                      <w:color w:val="auto"/>
                      <w:sz w:val="21"/>
                      <w:szCs w:val="21"/>
                    </w:rPr>
                  </w:pPr>
                  <w:r>
                    <w:rPr>
                      <w:rFonts w:hint="eastAsia"/>
                      <w:color w:val="auto"/>
                      <w:sz w:val="21"/>
                      <w:szCs w:val="21"/>
                    </w:rPr>
                    <w:t>整个厂区</w:t>
                  </w:r>
                </w:p>
              </w:tc>
              <w:tc>
                <w:tcPr>
                  <w:tcW w:w="1992" w:type="pct"/>
                  <w:tcBorders>
                    <w:tl2br w:val="nil"/>
                    <w:tr2bl w:val="nil"/>
                  </w:tcBorders>
                  <w:vAlign w:val="center"/>
                </w:tcPr>
                <w:p>
                  <w:pPr>
                    <w:ind w:firstLine="0" w:firstLineChars="0"/>
                    <w:jc w:val="center"/>
                    <w:rPr>
                      <w:color w:val="auto"/>
                      <w:sz w:val="21"/>
                      <w:szCs w:val="21"/>
                    </w:rPr>
                  </w:pPr>
                  <w:r>
                    <w:rPr>
                      <w:rFonts w:hint="eastAsia"/>
                      <w:color w:val="auto"/>
                      <w:sz w:val="21"/>
                      <w:szCs w:val="21"/>
                    </w:rPr>
                    <w:t>各类泵机、搅拌机、燃油锅炉、运输车辆</w:t>
                  </w:r>
                  <w:r>
                    <w:rPr>
                      <w:color w:val="auto"/>
                      <w:sz w:val="21"/>
                      <w:szCs w:val="21"/>
                    </w:rPr>
                    <w:t>等</w:t>
                  </w:r>
                </w:p>
              </w:tc>
              <w:tc>
                <w:tcPr>
                  <w:tcW w:w="1317" w:type="pct"/>
                  <w:tcBorders>
                    <w:tl2br w:val="nil"/>
                    <w:tr2bl w:val="nil"/>
                  </w:tcBorders>
                  <w:vAlign w:val="center"/>
                </w:tcPr>
                <w:p>
                  <w:pPr>
                    <w:ind w:firstLine="0" w:firstLineChars="0"/>
                    <w:jc w:val="center"/>
                    <w:rPr>
                      <w:color w:val="auto"/>
                      <w:sz w:val="21"/>
                      <w:szCs w:val="21"/>
                    </w:rPr>
                  </w:pPr>
                  <w:r>
                    <w:rPr>
                      <w:color w:val="auto"/>
                      <w:sz w:val="21"/>
                      <w:szCs w:val="21"/>
                    </w:rPr>
                    <w:t>固定源噪声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401" w:type="pct"/>
                  <w:vMerge w:val="restart"/>
                  <w:tcBorders>
                    <w:tl2br w:val="nil"/>
                    <w:tr2bl w:val="nil"/>
                  </w:tcBorders>
                  <w:vAlign w:val="center"/>
                </w:tcPr>
                <w:p>
                  <w:pPr>
                    <w:pStyle w:val="54"/>
                    <w:adjustRightInd/>
                    <w:snapToGrid/>
                    <w:spacing w:line="240" w:lineRule="atLeast"/>
                    <w:rPr>
                      <w:color w:val="auto"/>
                    </w:rPr>
                  </w:pPr>
                  <w:r>
                    <w:rPr>
                      <w:color w:val="auto"/>
                    </w:rPr>
                    <w:t>固废</w:t>
                  </w:r>
                </w:p>
              </w:tc>
              <w:tc>
                <w:tcPr>
                  <w:tcW w:w="1287" w:type="pct"/>
                  <w:tcBorders>
                    <w:tl2br w:val="nil"/>
                    <w:tr2bl w:val="nil"/>
                  </w:tcBorders>
                  <w:vAlign w:val="center"/>
                </w:tcPr>
                <w:p>
                  <w:pPr>
                    <w:ind w:firstLine="0" w:firstLineChars="0"/>
                    <w:jc w:val="center"/>
                    <w:rPr>
                      <w:color w:val="auto"/>
                      <w:sz w:val="21"/>
                      <w:szCs w:val="21"/>
                    </w:rPr>
                  </w:pPr>
                  <w:r>
                    <w:rPr>
                      <w:rFonts w:hint="eastAsia"/>
                      <w:color w:val="auto"/>
                      <w:sz w:val="21"/>
                      <w:szCs w:val="21"/>
                    </w:rPr>
                    <w:t>整个厂区</w:t>
                  </w:r>
                </w:p>
              </w:tc>
              <w:tc>
                <w:tcPr>
                  <w:tcW w:w="1992" w:type="pct"/>
                  <w:tcBorders>
                    <w:tl2br w:val="nil"/>
                    <w:tr2bl w:val="nil"/>
                  </w:tcBorders>
                  <w:vAlign w:val="center"/>
                </w:tcPr>
                <w:p>
                  <w:pPr>
                    <w:ind w:firstLine="0" w:firstLineChars="0"/>
                    <w:jc w:val="center"/>
                    <w:rPr>
                      <w:color w:val="auto"/>
                      <w:sz w:val="21"/>
                      <w:szCs w:val="21"/>
                    </w:rPr>
                  </w:pPr>
                  <w:r>
                    <w:rPr>
                      <w:rFonts w:hint="eastAsia"/>
                      <w:color w:val="auto"/>
                      <w:sz w:val="21"/>
                      <w:szCs w:val="21"/>
                    </w:rPr>
                    <w:t>办公室、值班室、厂区</w:t>
                  </w:r>
                </w:p>
              </w:tc>
              <w:tc>
                <w:tcPr>
                  <w:tcW w:w="1317" w:type="pct"/>
                  <w:tcBorders>
                    <w:tl2br w:val="nil"/>
                    <w:tr2bl w:val="nil"/>
                  </w:tcBorders>
                  <w:vAlign w:val="center"/>
                </w:tcPr>
                <w:p>
                  <w:pPr>
                    <w:ind w:firstLine="0" w:firstLineChars="0"/>
                    <w:jc w:val="center"/>
                    <w:rPr>
                      <w:color w:val="auto"/>
                      <w:sz w:val="21"/>
                      <w:szCs w:val="21"/>
                    </w:rPr>
                  </w:pPr>
                  <w:r>
                    <w:rPr>
                      <w:rFonts w:hint="eastAsia"/>
                      <w:color w:val="auto"/>
                      <w:sz w:val="21"/>
                      <w:szCs w:val="21"/>
                    </w:rPr>
                    <w:t>生活垃圾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401" w:type="pct"/>
                  <w:vMerge w:val="continue"/>
                  <w:tcBorders>
                    <w:tl2br w:val="nil"/>
                    <w:tr2bl w:val="nil"/>
                  </w:tcBorders>
                  <w:vAlign w:val="center"/>
                </w:tcPr>
                <w:p>
                  <w:pPr>
                    <w:pStyle w:val="54"/>
                    <w:adjustRightInd/>
                    <w:snapToGrid/>
                    <w:spacing w:line="240" w:lineRule="atLeast"/>
                    <w:rPr>
                      <w:color w:val="auto"/>
                    </w:rPr>
                  </w:pPr>
                </w:p>
              </w:tc>
              <w:tc>
                <w:tcPr>
                  <w:tcW w:w="1287" w:type="pct"/>
                  <w:tcBorders>
                    <w:tl2br w:val="nil"/>
                    <w:tr2bl w:val="nil"/>
                  </w:tcBorders>
                  <w:vAlign w:val="center"/>
                </w:tcPr>
                <w:p>
                  <w:pPr>
                    <w:ind w:firstLine="0" w:firstLineChars="0"/>
                    <w:jc w:val="center"/>
                    <w:rPr>
                      <w:color w:val="auto"/>
                      <w:sz w:val="21"/>
                      <w:szCs w:val="21"/>
                    </w:rPr>
                  </w:pPr>
                  <w:r>
                    <w:rPr>
                      <w:rFonts w:hint="eastAsia"/>
                      <w:color w:val="auto"/>
                      <w:sz w:val="21"/>
                      <w:szCs w:val="21"/>
                    </w:rPr>
                    <w:t>沉淀池</w:t>
                  </w:r>
                </w:p>
              </w:tc>
              <w:tc>
                <w:tcPr>
                  <w:tcW w:w="1992" w:type="pct"/>
                  <w:tcBorders>
                    <w:tl2br w:val="nil"/>
                    <w:tr2bl w:val="nil"/>
                  </w:tcBorders>
                  <w:vAlign w:val="center"/>
                </w:tcPr>
                <w:p>
                  <w:pPr>
                    <w:ind w:firstLine="0" w:firstLineChars="0"/>
                    <w:jc w:val="center"/>
                    <w:rPr>
                      <w:color w:val="auto"/>
                      <w:sz w:val="21"/>
                      <w:szCs w:val="21"/>
                    </w:rPr>
                  </w:pPr>
                  <w:r>
                    <w:rPr>
                      <w:rFonts w:hint="eastAsia"/>
                      <w:color w:val="auto"/>
                      <w:sz w:val="21"/>
                      <w:szCs w:val="21"/>
                    </w:rPr>
                    <w:t>沉淀</w:t>
                  </w:r>
                </w:p>
              </w:tc>
              <w:tc>
                <w:tcPr>
                  <w:tcW w:w="1317" w:type="pct"/>
                  <w:tcBorders>
                    <w:tl2br w:val="nil"/>
                    <w:tr2bl w:val="nil"/>
                  </w:tcBorders>
                  <w:vAlign w:val="center"/>
                </w:tcPr>
                <w:p>
                  <w:pPr>
                    <w:ind w:firstLine="0" w:firstLineChars="0"/>
                    <w:jc w:val="center"/>
                    <w:rPr>
                      <w:color w:val="auto"/>
                      <w:sz w:val="21"/>
                      <w:szCs w:val="21"/>
                    </w:rPr>
                  </w:pPr>
                  <w:r>
                    <w:rPr>
                      <w:rFonts w:hint="eastAsia"/>
                      <w:color w:val="auto"/>
                      <w:sz w:val="21"/>
                      <w:szCs w:val="21"/>
                    </w:rPr>
                    <w:t>砂石、沉淀池沉渣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60" w:hRule="atLeast"/>
              </w:trPr>
              <w:tc>
                <w:tcPr>
                  <w:tcW w:w="401" w:type="pct"/>
                  <w:vMerge w:val="continue"/>
                  <w:tcBorders>
                    <w:tl2br w:val="nil"/>
                    <w:tr2bl w:val="nil"/>
                  </w:tcBorders>
                  <w:vAlign w:val="center"/>
                </w:tcPr>
                <w:p>
                  <w:pPr>
                    <w:pStyle w:val="54"/>
                    <w:adjustRightInd/>
                    <w:snapToGrid/>
                    <w:spacing w:line="240" w:lineRule="atLeast"/>
                    <w:rPr>
                      <w:color w:val="auto"/>
                    </w:rPr>
                  </w:pPr>
                </w:p>
              </w:tc>
              <w:tc>
                <w:tcPr>
                  <w:tcW w:w="1287" w:type="pct"/>
                  <w:tcBorders>
                    <w:tl2br w:val="nil"/>
                    <w:tr2bl w:val="nil"/>
                  </w:tcBorders>
                  <w:vAlign w:val="center"/>
                </w:tcPr>
                <w:p>
                  <w:pPr>
                    <w:ind w:firstLine="0" w:firstLineChars="0"/>
                    <w:jc w:val="center"/>
                    <w:rPr>
                      <w:color w:val="auto"/>
                      <w:sz w:val="21"/>
                      <w:szCs w:val="21"/>
                    </w:rPr>
                  </w:pPr>
                  <w:r>
                    <w:rPr>
                      <w:rFonts w:hint="eastAsia"/>
                      <w:color w:val="auto"/>
                      <w:sz w:val="21"/>
                      <w:szCs w:val="21"/>
                    </w:rPr>
                    <w:t>粉仓</w:t>
                  </w:r>
                </w:p>
              </w:tc>
              <w:tc>
                <w:tcPr>
                  <w:tcW w:w="1992" w:type="pct"/>
                  <w:tcBorders>
                    <w:tl2br w:val="nil"/>
                    <w:tr2bl w:val="nil"/>
                  </w:tcBorders>
                  <w:vAlign w:val="center"/>
                </w:tcPr>
                <w:p>
                  <w:pPr>
                    <w:ind w:firstLine="0" w:firstLineChars="0"/>
                    <w:jc w:val="center"/>
                    <w:rPr>
                      <w:color w:val="auto"/>
                      <w:sz w:val="21"/>
                      <w:szCs w:val="21"/>
                    </w:rPr>
                  </w:pPr>
                  <w:r>
                    <w:rPr>
                      <w:rFonts w:hint="eastAsia"/>
                      <w:color w:val="auto"/>
                      <w:sz w:val="21"/>
                      <w:szCs w:val="21"/>
                    </w:rPr>
                    <w:t>粉料储用</w:t>
                  </w:r>
                </w:p>
              </w:tc>
              <w:tc>
                <w:tcPr>
                  <w:tcW w:w="1317" w:type="pct"/>
                  <w:tcBorders>
                    <w:tl2br w:val="nil"/>
                    <w:tr2bl w:val="nil"/>
                  </w:tcBorders>
                  <w:vAlign w:val="center"/>
                </w:tcPr>
                <w:p>
                  <w:pPr>
                    <w:ind w:firstLine="0" w:firstLineChars="0"/>
                    <w:jc w:val="center"/>
                    <w:rPr>
                      <w:color w:val="auto"/>
                      <w:sz w:val="21"/>
                      <w:szCs w:val="21"/>
                    </w:rPr>
                  </w:pPr>
                  <w:r>
                    <w:rPr>
                      <w:rFonts w:hint="eastAsia"/>
                      <w:color w:val="auto"/>
                      <w:sz w:val="21"/>
                      <w:szCs w:val="21"/>
                    </w:rPr>
                    <w:t>收集灰尘与废滤芯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60" w:hRule="atLeast"/>
              </w:trPr>
              <w:tc>
                <w:tcPr>
                  <w:tcW w:w="401" w:type="pct"/>
                  <w:vMerge w:val="continue"/>
                  <w:tcBorders>
                    <w:tl2br w:val="nil"/>
                    <w:tr2bl w:val="nil"/>
                  </w:tcBorders>
                  <w:vAlign w:val="center"/>
                </w:tcPr>
                <w:p>
                  <w:pPr>
                    <w:pStyle w:val="54"/>
                    <w:adjustRightInd/>
                    <w:snapToGrid/>
                    <w:spacing w:line="240" w:lineRule="atLeast"/>
                    <w:rPr>
                      <w:color w:val="auto"/>
                    </w:rPr>
                  </w:pPr>
                </w:p>
              </w:tc>
              <w:tc>
                <w:tcPr>
                  <w:tcW w:w="1287" w:type="pct"/>
                  <w:tcBorders>
                    <w:tl2br w:val="nil"/>
                    <w:tr2bl w:val="nil"/>
                  </w:tcBorders>
                  <w:vAlign w:val="center"/>
                </w:tcPr>
                <w:p>
                  <w:pPr>
                    <w:ind w:firstLine="0" w:firstLineChars="0"/>
                    <w:jc w:val="center"/>
                    <w:rPr>
                      <w:color w:val="auto"/>
                      <w:sz w:val="21"/>
                      <w:szCs w:val="21"/>
                    </w:rPr>
                  </w:pPr>
                  <w:r>
                    <w:rPr>
                      <w:rFonts w:hint="eastAsia"/>
                      <w:color w:val="auto"/>
                      <w:sz w:val="21"/>
                      <w:szCs w:val="21"/>
                    </w:rPr>
                    <w:t>实验室</w:t>
                  </w:r>
                </w:p>
              </w:tc>
              <w:tc>
                <w:tcPr>
                  <w:tcW w:w="1992" w:type="pct"/>
                  <w:tcBorders>
                    <w:tl2br w:val="nil"/>
                    <w:tr2bl w:val="nil"/>
                  </w:tcBorders>
                  <w:vAlign w:val="center"/>
                </w:tcPr>
                <w:p>
                  <w:pPr>
                    <w:ind w:firstLine="0" w:firstLineChars="0"/>
                    <w:jc w:val="center"/>
                    <w:rPr>
                      <w:color w:val="auto"/>
                      <w:sz w:val="21"/>
                      <w:szCs w:val="21"/>
                    </w:rPr>
                  </w:pPr>
                  <w:r>
                    <w:rPr>
                      <w:rFonts w:hint="eastAsia"/>
                      <w:color w:val="auto"/>
                      <w:sz w:val="21"/>
                      <w:szCs w:val="21"/>
                    </w:rPr>
                    <w:t>抗压等实验</w:t>
                  </w:r>
                </w:p>
              </w:tc>
              <w:tc>
                <w:tcPr>
                  <w:tcW w:w="1317" w:type="pct"/>
                  <w:tcBorders>
                    <w:tl2br w:val="nil"/>
                    <w:tr2bl w:val="nil"/>
                  </w:tcBorders>
                  <w:vAlign w:val="center"/>
                </w:tcPr>
                <w:p>
                  <w:pPr>
                    <w:ind w:firstLine="0" w:firstLineChars="0"/>
                    <w:jc w:val="center"/>
                    <w:rPr>
                      <w:color w:val="auto"/>
                      <w:sz w:val="21"/>
                      <w:szCs w:val="21"/>
                    </w:rPr>
                  </w:pPr>
                  <w:r>
                    <w:rPr>
                      <w:rFonts w:hint="eastAsia"/>
                      <w:color w:val="auto"/>
                      <w:sz w:val="21"/>
                      <w:szCs w:val="21"/>
                    </w:rPr>
                    <w:t>混凝土试块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401" w:type="pct"/>
                  <w:vMerge w:val="continue"/>
                  <w:tcBorders>
                    <w:tl2br w:val="nil"/>
                    <w:tr2bl w:val="nil"/>
                  </w:tcBorders>
                  <w:vAlign w:val="center"/>
                </w:tcPr>
                <w:p>
                  <w:pPr>
                    <w:pStyle w:val="54"/>
                    <w:adjustRightInd/>
                    <w:snapToGrid/>
                    <w:spacing w:line="240" w:lineRule="atLeast"/>
                    <w:rPr>
                      <w:color w:val="auto"/>
                    </w:rPr>
                  </w:pPr>
                </w:p>
              </w:tc>
              <w:tc>
                <w:tcPr>
                  <w:tcW w:w="1287" w:type="pct"/>
                  <w:tcBorders>
                    <w:tl2br w:val="nil"/>
                    <w:tr2bl w:val="nil"/>
                  </w:tcBorders>
                  <w:vAlign w:val="center"/>
                </w:tcPr>
                <w:p>
                  <w:pPr>
                    <w:ind w:firstLine="0" w:firstLineChars="0"/>
                    <w:jc w:val="center"/>
                    <w:rPr>
                      <w:color w:val="auto"/>
                      <w:sz w:val="21"/>
                      <w:szCs w:val="21"/>
                    </w:rPr>
                  </w:pPr>
                  <w:r>
                    <w:rPr>
                      <w:rFonts w:hint="eastAsia"/>
                      <w:color w:val="auto"/>
                      <w:sz w:val="21"/>
                      <w:szCs w:val="21"/>
                    </w:rPr>
                    <w:t>生产设备</w:t>
                  </w:r>
                </w:p>
              </w:tc>
              <w:tc>
                <w:tcPr>
                  <w:tcW w:w="1992" w:type="pct"/>
                  <w:tcBorders>
                    <w:tl2br w:val="nil"/>
                    <w:tr2bl w:val="nil"/>
                  </w:tcBorders>
                  <w:vAlign w:val="center"/>
                </w:tcPr>
                <w:p>
                  <w:pPr>
                    <w:ind w:firstLine="0" w:firstLineChars="0"/>
                    <w:jc w:val="center"/>
                    <w:rPr>
                      <w:color w:val="auto"/>
                      <w:sz w:val="21"/>
                      <w:szCs w:val="21"/>
                    </w:rPr>
                  </w:pPr>
                  <w:r>
                    <w:rPr>
                      <w:rFonts w:hint="eastAsia"/>
                      <w:color w:val="auto"/>
                      <w:sz w:val="21"/>
                      <w:szCs w:val="21"/>
                    </w:rPr>
                    <w:t>设备维护</w:t>
                  </w:r>
                </w:p>
              </w:tc>
              <w:tc>
                <w:tcPr>
                  <w:tcW w:w="1317" w:type="pct"/>
                  <w:tcBorders>
                    <w:tl2br w:val="nil"/>
                    <w:tr2bl w:val="nil"/>
                  </w:tcBorders>
                  <w:vAlign w:val="center"/>
                </w:tcPr>
                <w:p>
                  <w:pPr>
                    <w:ind w:firstLine="0" w:firstLineChars="0"/>
                    <w:jc w:val="center"/>
                    <w:rPr>
                      <w:color w:val="auto"/>
                      <w:sz w:val="21"/>
                      <w:szCs w:val="21"/>
                    </w:rPr>
                  </w:pPr>
                  <w:r>
                    <w:rPr>
                      <w:rFonts w:hint="eastAsia"/>
                      <w:color w:val="auto"/>
                      <w:sz w:val="21"/>
                      <w:szCs w:val="21"/>
                    </w:rPr>
                    <w:t>废机油、废油桶、含油棉布及劳保手套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401" w:type="pct"/>
                  <w:vMerge w:val="continue"/>
                  <w:tcBorders>
                    <w:tl2br w:val="nil"/>
                    <w:tr2bl w:val="nil"/>
                  </w:tcBorders>
                  <w:vAlign w:val="center"/>
                </w:tcPr>
                <w:p>
                  <w:pPr>
                    <w:pStyle w:val="54"/>
                    <w:adjustRightInd/>
                    <w:snapToGrid/>
                    <w:spacing w:line="240" w:lineRule="atLeast"/>
                    <w:rPr>
                      <w:color w:val="auto"/>
                    </w:rPr>
                  </w:pPr>
                </w:p>
              </w:tc>
              <w:tc>
                <w:tcPr>
                  <w:tcW w:w="1287" w:type="pct"/>
                  <w:tcBorders>
                    <w:tl2br w:val="nil"/>
                    <w:tr2bl w:val="nil"/>
                  </w:tcBorders>
                  <w:vAlign w:val="center"/>
                </w:tcPr>
                <w:p>
                  <w:pPr>
                    <w:ind w:firstLine="0" w:firstLineChars="0"/>
                    <w:jc w:val="center"/>
                    <w:rPr>
                      <w:color w:val="auto"/>
                      <w:sz w:val="21"/>
                      <w:szCs w:val="21"/>
                    </w:rPr>
                  </w:pPr>
                  <w:r>
                    <w:rPr>
                      <w:rFonts w:hint="eastAsia"/>
                      <w:color w:val="auto"/>
                      <w:sz w:val="21"/>
                      <w:szCs w:val="21"/>
                    </w:rPr>
                    <w:t>沥青骨料筛分</w:t>
                  </w:r>
                </w:p>
              </w:tc>
              <w:tc>
                <w:tcPr>
                  <w:tcW w:w="1992" w:type="pct"/>
                  <w:tcBorders>
                    <w:tl2br w:val="nil"/>
                    <w:tr2bl w:val="nil"/>
                  </w:tcBorders>
                  <w:vAlign w:val="center"/>
                </w:tcPr>
                <w:p>
                  <w:pPr>
                    <w:ind w:firstLine="0" w:firstLineChars="0"/>
                    <w:jc w:val="center"/>
                    <w:rPr>
                      <w:color w:val="auto"/>
                      <w:sz w:val="21"/>
                      <w:szCs w:val="21"/>
                    </w:rPr>
                  </w:pPr>
                  <w:r>
                    <w:rPr>
                      <w:rFonts w:hint="eastAsia"/>
                      <w:color w:val="auto"/>
                      <w:sz w:val="21"/>
                      <w:szCs w:val="21"/>
                    </w:rPr>
                    <w:t>筛分</w:t>
                  </w:r>
                </w:p>
              </w:tc>
              <w:tc>
                <w:tcPr>
                  <w:tcW w:w="1317" w:type="pct"/>
                  <w:tcBorders>
                    <w:tl2br w:val="nil"/>
                    <w:tr2bl w:val="nil"/>
                  </w:tcBorders>
                  <w:vAlign w:val="center"/>
                </w:tcPr>
                <w:p>
                  <w:pPr>
                    <w:ind w:firstLine="0" w:firstLineChars="0"/>
                    <w:jc w:val="center"/>
                    <w:rPr>
                      <w:color w:val="auto"/>
                      <w:sz w:val="21"/>
                      <w:szCs w:val="21"/>
                    </w:rPr>
                  </w:pPr>
                  <w:r>
                    <w:rPr>
                      <w:rFonts w:hint="eastAsia"/>
                      <w:color w:val="auto"/>
                      <w:sz w:val="21"/>
                      <w:szCs w:val="21"/>
                    </w:rPr>
                    <w:t>不合格骨料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401" w:type="pct"/>
                  <w:vMerge w:val="continue"/>
                  <w:tcBorders>
                    <w:tl2br w:val="nil"/>
                    <w:tr2bl w:val="nil"/>
                  </w:tcBorders>
                  <w:vAlign w:val="center"/>
                </w:tcPr>
                <w:p>
                  <w:pPr>
                    <w:pStyle w:val="54"/>
                    <w:adjustRightInd/>
                    <w:snapToGrid/>
                    <w:spacing w:line="240" w:lineRule="atLeast"/>
                    <w:rPr>
                      <w:color w:val="auto"/>
                    </w:rPr>
                  </w:pPr>
                </w:p>
              </w:tc>
              <w:tc>
                <w:tcPr>
                  <w:tcW w:w="1287" w:type="pct"/>
                  <w:tcBorders>
                    <w:tl2br w:val="nil"/>
                    <w:tr2bl w:val="nil"/>
                  </w:tcBorders>
                  <w:vAlign w:val="center"/>
                </w:tcPr>
                <w:p>
                  <w:pPr>
                    <w:ind w:firstLine="0" w:firstLineChars="0"/>
                    <w:jc w:val="center"/>
                    <w:rPr>
                      <w:color w:val="auto"/>
                      <w:sz w:val="21"/>
                      <w:szCs w:val="21"/>
                    </w:rPr>
                  </w:pPr>
                  <w:r>
                    <w:rPr>
                      <w:rFonts w:hint="eastAsia"/>
                      <w:color w:val="auto"/>
                      <w:sz w:val="21"/>
                      <w:szCs w:val="21"/>
                    </w:rPr>
                    <w:t>沥青烟废气处理设施</w:t>
                  </w:r>
                </w:p>
              </w:tc>
              <w:tc>
                <w:tcPr>
                  <w:tcW w:w="1992" w:type="pct"/>
                  <w:tcBorders>
                    <w:tl2br w:val="nil"/>
                    <w:tr2bl w:val="nil"/>
                  </w:tcBorders>
                  <w:vAlign w:val="center"/>
                </w:tcPr>
                <w:p>
                  <w:pPr>
                    <w:ind w:firstLine="0" w:firstLineChars="0"/>
                    <w:jc w:val="center"/>
                    <w:rPr>
                      <w:color w:val="auto"/>
                      <w:sz w:val="21"/>
                      <w:szCs w:val="21"/>
                    </w:rPr>
                  </w:pPr>
                  <w:r>
                    <w:rPr>
                      <w:rFonts w:hint="eastAsia"/>
                      <w:color w:val="auto"/>
                      <w:sz w:val="21"/>
                      <w:szCs w:val="21"/>
                    </w:rPr>
                    <w:t>沥青烟废气处理</w:t>
                  </w:r>
                </w:p>
              </w:tc>
              <w:tc>
                <w:tcPr>
                  <w:tcW w:w="1317" w:type="pct"/>
                  <w:tcBorders>
                    <w:tl2br w:val="nil"/>
                    <w:tr2bl w:val="nil"/>
                  </w:tcBorders>
                  <w:vAlign w:val="center"/>
                </w:tcPr>
                <w:p>
                  <w:pPr>
                    <w:ind w:firstLine="0" w:firstLineChars="0"/>
                    <w:jc w:val="center"/>
                    <w:rPr>
                      <w:color w:val="auto"/>
                      <w:sz w:val="21"/>
                      <w:szCs w:val="21"/>
                    </w:rPr>
                  </w:pPr>
                  <w:r>
                    <w:rPr>
                      <w:rFonts w:hint="eastAsia"/>
                      <w:color w:val="auto"/>
                      <w:sz w:val="21"/>
                      <w:szCs w:val="21"/>
                    </w:rPr>
                    <w:t>废活性炭、电捕焦油</w:t>
                  </w:r>
                </w:p>
              </w:tc>
            </w:tr>
          </w:tbl>
          <w:p>
            <w:pPr>
              <w:ind w:firstLine="480"/>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8" w:hRule="atLeast"/>
          <w:jc w:val="center"/>
        </w:trPr>
        <w:tc>
          <w:tcPr>
            <w:tcW w:w="784" w:type="dxa"/>
            <w:vAlign w:val="center"/>
          </w:tcPr>
          <w:p>
            <w:pPr>
              <w:snapToGrid w:val="0"/>
              <w:ind w:firstLine="0" w:firstLineChars="0"/>
              <w:rPr>
                <w:color w:val="auto"/>
              </w:rPr>
            </w:pPr>
            <w:r>
              <w:rPr>
                <w:rFonts w:hint="eastAsia"/>
                <w:color w:val="auto"/>
              </w:rPr>
              <w:t>与项目有关的原有环境污染问题</w:t>
            </w:r>
          </w:p>
        </w:tc>
        <w:tc>
          <w:tcPr>
            <w:tcW w:w="8318" w:type="dxa"/>
            <w:vAlign w:val="center"/>
          </w:tcPr>
          <w:p>
            <w:pPr>
              <w:ind w:firstLine="480"/>
              <w:rPr>
                <w:color w:val="auto"/>
              </w:rPr>
            </w:pPr>
            <w:r>
              <w:rPr>
                <w:rFonts w:hint="eastAsia"/>
                <w:color w:val="auto"/>
              </w:rPr>
              <w:t>本项目为新建项目，无与项目有关的原有环境污染。</w:t>
            </w:r>
          </w:p>
          <w:p>
            <w:pPr>
              <w:pStyle w:val="12"/>
              <w:spacing w:after="0"/>
              <w:ind w:left="0" w:leftChars="0" w:firstLine="0" w:firstLineChars="0"/>
              <w:rPr>
                <w:color w:val="auto"/>
              </w:rPr>
            </w:pPr>
          </w:p>
        </w:tc>
      </w:tr>
    </w:tbl>
    <w:p>
      <w:pPr>
        <w:jc w:val="center"/>
        <w:rPr>
          <w:rFonts w:hint="eastAsia" w:ascii="黑体" w:hAnsi="黑体" w:eastAsia="黑体"/>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3"/>
        <w:rPr>
          <w:color w:val="auto"/>
        </w:rPr>
      </w:pPr>
      <w:r>
        <w:rPr>
          <w:rFonts w:hint="eastAsia"/>
          <w:color w:val="auto"/>
        </w:rPr>
        <w:t>三、区域环境质量现状、环境保护目标及评价标准</w:t>
      </w:r>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80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456" w:type="dxa"/>
            <w:vAlign w:val="center"/>
          </w:tcPr>
          <w:p>
            <w:pPr>
              <w:pStyle w:val="54"/>
              <w:spacing w:line="360" w:lineRule="auto"/>
              <w:rPr>
                <w:color w:val="auto"/>
                <w:sz w:val="24"/>
                <w:szCs w:val="24"/>
              </w:rPr>
            </w:pPr>
            <w:r>
              <w:rPr>
                <w:rFonts w:hint="eastAsia"/>
                <w:color w:val="auto"/>
                <w:sz w:val="24"/>
                <w:szCs w:val="24"/>
              </w:rPr>
              <w:t>区域</w:t>
            </w:r>
          </w:p>
          <w:p>
            <w:pPr>
              <w:pStyle w:val="54"/>
              <w:spacing w:line="360" w:lineRule="auto"/>
              <w:rPr>
                <w:color w:val="auto"/>
                <w:sz w:val="24"/>
                <w:szCs w:val="24"/>
              </w:rPr>
            </w:pPr>
            <w:r>
              <w:rPr>
                <w:rFonts w:hint="eastAsia"/>
                <w:color w:val="auto"/>
                <w:sz w:val="24"/>
                <w:szCs w:val="24"/>
              </w:rPr>
              <w:t>环境</w:t>
            </w:r>
          </w:p>
          <w:p>
            <w:pPr>
              <w:pStyle w:val="54"/>
              <w:spacing w:line="360" w:lineRule="auto"/>
              <w:rPr>
                <w:color w:val="auto"/>
                <w:sz w:val="24"/>
                <w:szCs w:val="24"/>
              </w:rPr>
            </w:pPr>
            <w:r>
              <w:rPr>
                <w:rFonts w:hint="eastAsia"/>
                <w:color w:val="auto"/>
                <w:sz w:val="24"/>
                <w:szCs w:val="24"/>
              </w:rPr>
              <w:t>质量</w:t>
            </w:r>
          </w:p>
          <w:p>
            <w:pPr>
              <w:pStyle w:val="54"/>
              <w:spacing w:line="360" w:lineRule="auto"/>
              <w:rPr>
                <w:rFonts w:hint="eastAsia" w:ascii="宋体" w:hAnsi="宋体" w:cs="宋体"/>
                <w:color w:val="auto"/>
              </w:rPr>
            </w:pPr>
            <w:r>
              <w:rPr>
                <w:rFonts w:hint="eastAsia"/>
                <w:color w:val="auto"/>
                <w:sz w:val="24"/>
                <w:szCs w:val="24"/>
              </w:rPr>
              <w:t>现状</w:t>
            </w:r>
          </w:p>
        </w:tc>
        <w:tc>
          <w:tcPr>
            <w:tcW w:w="8513" w:type="dxa"/>
            <w:vAlign w:val="center"/>
          </w:tcPr>
          <w:p>
            <w:pPr>
              <w:pStyle w:val="4"/>
              <w:rPr>
                <w:color w:val="auto"/>
              </w:rPr>
            </w:pPr>
            <w:r>
              <w:rPr>
                <w:rFonts w:hint="eastAsia"/>
                <w:color w:val="auto"/>
              </w:rPr>
              <w:t>1、环境空气</w:t>
            </w:r>
          </w:p>
          <w:p>
            <w:pPr>
              <w:ind w:firstLine="482"/>
              <w:rPr>
                <w:b/>
                <w:bCs/>
                <w:color w:val="auto"/>
              </w:rPr>
            </w:pPr>
            <w:r>
              <w:rPr>
                <w:rFonts w:hint="eastAsia"/>
                <w:b/>
                <w:bCs/>
                <w:color w:val="auto"/>
              </w:rPr>
              <w:t>1.1基本污染物环境空气质量</w:t>
            </w:r>
          </w:p>
          <w:p>
            <w:pPr>
              <w:ind w:firstLine="480"/>
              <w:jc w:val="left"/>
              <w:rPr>
                <w:color w:val="auto"/>
              </w:rPr>
            </w:pPr>
            <w:r>
              <w:rPr>
                <w:color w:val="auto"/>
              </w:rPr>
              <w:t>根据《环境影响评价技术导则 大气环境》（HJ2.2-2018）中6.2.1.1要求“项目所在区域达标判定，优先采用国家或地方生态环境主管部门公开发布的评价基准年环境质量公告或环境质量报告中的数据或结论”以及6.2.1.3规定“评价范围内没有环境空气质量监测网数据或公开发布的环境空气质量现状数据的，可选择符合HJ664规定，并且与评价范围地理位置邻近，地形、气候条件相近的环境空气质量城市点或区域点监测数据”。</w:t>
            </w:r>
          </w:p>
          <w:p>
            <w:pPr>
              <w:ind w:firstLine="480"/>
              <w:jc w:val="left"/>
              <w:rPr>
                <w:color w:val="auto"/>
              </w:rPr>
            </w:pPr>
            <w:r>
              <w:rPr>
                <w:color w:val="auto"/>
              </w:rPr>
              <w:t>评价方法参照《环境空气质量评价技术规范（试行）》（HJ663-2013）。本项目位于海南藏族自治州同德县</w:t>
            </w:r>
            <w:r>
              <w:rPr>
                <w:rFonts w:hint="eastAsia"/>
                <w:color w:val="auto"/>
              </w:rPr>
              <w:t>尕巴松多镇</w:t>
            </w:r>
            <w:r>
              <w:rPr>
                <w:color w:val="auto"/>
              </w:rPr>
              <w:t>。根据</w:t>
            </w:r>
            <w:r>
              <w:rPr>
                <w:rFonts w:hint="eastAsia"/>
                <w:color w:val="auto"/>
              </w:rPr>
              <w:t>海南州生态环境局公布的《</w:t>
            </w:r>
            <w:r>
              <w:rPr>
                <w:color w:val="auto"/>
              </w:rPr>
              <w:t>2023 年海南州环境质量报告书</w:t>
            </w:r>
            <w:r>
              <w:rPr>
                <w:rFonts w:hint="eastAsia"/>
                <w:color w:val="auto"/>
              </w:rPr>
              <w:t>》中同德县的监测数据</w:t>
            </w:r>
            <w:r>
              <w:rPr>
                <w:color w:val="auto"/>
              </w:rPr>
              <w:t>。区域空气质量现状评价详见表3-1。</w:t>
            </w:r>
          </w:p>
          <w:p>
            <w:pPr>
              <w:adjustRightInd w:val="0"/>
              <w:snapToGrid w:val="0"/>
              <w:ind w:firstLine="0" w:firstLineChars="0"/>
              <w:jc w:val="center"/>
              <w:outlineLvl w:val="4"/>
              <w:rPr>
                <w:bCs/>
                <w:color w:val="auto"/>
              </w:rPr>
            </w:pPr>
            <w:r>
              <w:rPr>
                <w:bCs/>
                <w:color w:val="auto"/>
              </w:rPr>
              <w:t>表</w:t>
            </w:r>
            <w:r>
              <w:rPr>
                <w:rFonts w:hint="eastAsia"/>
                <w:bCs/>
                <w:color w:val="auto"/>
              </w:rPr>
              <w:t>3</w:t>
            </w:r>
            <w:r>
              <w:rPr>
                <w:bCs/>
                <w:color w:val="auto"/>
              </w:rPr>
              <w:t>-1 基本污染物环境质量现状数据</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3028"/>
              <w:gridCol w:w="1542"/>
              <w:gridCol w:w="1337"/>
              <w:gridCol w:w="1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562" w:type="pct"/>
                  <w:tcBorders>
                    <w:tl2br w:val="nil"/>
                    <w:tr2bl w:val="nil"/>
                  </w:tcBorders>
                  <w:vAlign w:val="center"/>
                </w:tcPr>
                <w:p>
                  <w:pPr>
                    <w:pStyle w:val="90"/>
                    <w:spacing w:line="360" w:lineRule="auto"/>
                    <w:rPr>
                      <w:bCs/>
                      <w:color w:val="auto"/>
                      <w:szCs w:val="21"/>
                    </w:rPr>
                  </w:pPr>
                  <w:r>
                    <w:rPr>
                      <w:bCs/>
                      <w:color w:val="auto"/>
                      <w:szCs w:val="21"/>
                    </w:rPr>
                    <w:t>污染物</w:t>
                  </w:r>
                </w:p>
              </w:tc>
              <w:tc>
                <w:tcPr>
                  <w:tcW w:w="1930" w:type="pct"/>
                  <w:tcBorders>
                    <w:tl2br w:val="nil"/>
                    <w:tr2bl w:val="nil"/>
                  </w:tcBorders>
                  <w:vAlign w:val="center"/>
                </w:tcPr>
                <w:p>
                  <w:pPr>
                    <w:pStyle w:val="90"/>
                    <w:spacing w:line="360" w:lineRule="auto"/>
                    <w:rPr>
                      <w:bCs/>
                      <w:color w:val="auto"/>
                      <w:szCs w:val="21"/>
                    </w:rPr>
                  </w:pPr>
                  <w:r>
                    <w:rPr>
                      <w:bCs/>
                      <w:color w:val="auto"/>
                      <w:szCs w:val="21"/>
                    </w:rPr>
                    <w:t>年评价指标</w:t>
                  </w:r>
                </w:p>
              </w:tc>
              <w:tc>
                <w:tcPr>
                  <w:tcW w:w="983" w:type="pct"/>
                  <w:tcBorders>
                    <w:tl2br w:val="nil"/>
                    <w:tr2bl w:val="nil"/>
                  </w:tcBorders>
                  <w:vAlign w:val="center"/>
                </w:tcPr>
                <w:p>
                  <w:pPr>
                    <w:pStyle w:val="90"/>
                    <w:spacing w:line="360" w:lineRule="auto"/>
                    <w:rPr>
                      <w:bCs/>
                      <w:color w:val="auto"/>
                      <w:szCs w:val="21"/>
                    </w:rPr>
                  </w:pPr>
                  <w:r>
                    <w:rPr>
                      <w:bCs/>
                      <w:color w:val="auto"/>
                      <w:szCs w:val="21"/>
                    </w:rPr>
                    <w:t>现状浓度（µg/m</w:t>
                  </w:r>
                  <w:r>
                    <w:rPr>
                      <w:bCs/>
                      <w:color w:val="auto"/>
                      <w:szCs w:val="21"/>
                      <w:vertAlign w:val="superscript"/>
                    </w:rPr>
                    <w:t>3</w:t>
                  </w:r>
                  <w:r>
                    <w:rPr>
                      <w:bCs/>
                      <w:color w:val="auto"/>
                      <w:szCs w:val="21"/>
                    </w:rPr>
                    <w:t>）</w:t>
                  </w:r>
                </w:p>
              </w:tc>
              <w:tc>
                <w:tcPr>
                  <w:tcW w:w="852" w:type="pct"/>
                  <w:tcBorders>
                    <w:tl2br w:val="nil"/>
                    <w:tr2bl w:val="nil"/>
                  </w:tcBorders>
                  <w:vAlign w:val="center"/>
                </w:tcPr>
                <w:p>
                  <w:pPr>
                    <w:pStyle w:val="90"/>
                    <w:spacing w:line="360" w:lineRule="auto"/>
                    <w:rPr>
                      <w:bCs/>
                      <w:color w:val="auto"/>
                      <w:szCs w:val="21"/>
                    </w:rPr>
                  </w:pPr>
                  <w:r>
                    <w:rPr>
                      <w:bCs/>
                      <w:color w:val="auto"/>
                      <w:szCs w:val="21"/>
                    </w:rPr>
                    <w:t>标准值（µg/m</w:t>
                  </w:r>
                  <w:r>
                    <w:rPr>
                      <w:bCs/>
                      <w:color w:val="auto"/>
                      <w:szCs w:val="21"/>
                      <w:vertAlign w:val="superscript"/>
                    </w:rPr>
                    <w:t>3</w:t>
                  </w:r>
                  <w:r>
                    <w:rPr>
                      <w:bCs/>
                      <w:color w:val="auto"/>
                      <w:szCs w:val="21"/>
                    </w:rPr>
                    <w:t>）</w:t>
                  </w:r>
                </w:p>
              </w:tc>
              <w:tc>
                <w:tcPr>
                  <w:tcW w:w="671" w:type="pct"/>
                  <w:tcBorders>
                    <w:tl2br w:val="nil"/>
                    <w:tr2bl w:val="nil"/>
                  </w:tcBorders>
                  <w:vAlign w:val="center"/>
                </w:tcPr>
                <w:p>
                  <w:pPr>
                    <w:pStyle w:val="90"/>
                    <w:spacing w:line="360" w:lineRule="auto"/>
                    <w:rPr>
                      <w:bCs/>
                      <w:color w:val="auto"/>
                      <w:szCs w:val="21"/>
                    </w:rPr>
                  </w:pPr>
                  <w:r>
                    <w:rPr>
                      <w:bCs/>
                      <w:color w:val="auto"/>
                      <w:szCs w:val="21"/>
                    </w:rPr>
                    <w:t>达标</w:t>
                  </w:r>
                </w:p>
                <w:p>
                  <w:pPr>
                    <w:pStyle w:val="90"/>
                    <w:spacing w:line="360" w:lineRule="auto"/>
                    <w:rPr>
                      <w:bCs/>
                      <w:color w:val="auto"/>
                      <w:szCs w:val="21"/>
                    </w:rPr>
                  </w:pPr>
                  <w:r>
                    <w:rPr>
                      <w:bCs/>
                      <w:color w:val="auto"/>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62" w:type="pct"/>
                  <w:tcBorders>
                    <w:tl2br w:val="nil"/>
                    <w:tr2bl w:val="nil"/>
                  </w:tcBorders>
                  <w:vAlign w:val="center"/>
                </w:tcPr>
                <w:p>
                  <w:pPr>
                    <w:pStyle w:val="90"/>
                    <w:spacing w:line="360" w:lineRule="auto"/>
                    <w:rPr>
                      <w:bCs/>
                      <w:color w:val="auto"/>
                      <w:szCs w:val="21"/>
                    </w:rPr>
                  </w:pPr>
                  <w:r>
                    <w:rPr>
                      <w:bCs/>
                      <w:color w:val="auto"/>
                      <w:szCs w:val="21"/>
                    </w:rPr>
                    <w:t>SO</w:t>
                  </w:r>
                  <w:r>
                    <w:rPr>
                      <w:bCs/>
                      <w:color w:val="auto"/>
                      <w:szCs w:val="21"/>
                      <w:vertAlign w:val="subscript"/>
                    </w:rPr>
                    <w:t>2</w:t>
                  </w:r>
                </w:p>
              </w:tc>
              <w:tc>
                <w:tcPr>
                  <w:tcW w:w="1930" w:type="pct"/>
                  <w:tcBorders>
                    <w:tl2br w:val="nil"/>
                    <w:tr2bl w:val="nil"/>
                  </w:tcBorders>
                  <w:vAlign w:val="center"/>
                </w:tcPr>
                <w:p>
                  <w:pPr>
                    <w:pStyle w:val="90"/>
                    <w:spacing w:line="360" w:lineRule="auto"/>
                    <w:rPr>
                      <w:bCs/>
                      <w:color w:val="auto"/>
                      <w:szCs w:val="21"/>
                    </w:rPr>
                  </w:pPr>
                  <w:r>
                    <w:rPr>
                      <w:bCs/>
                      <w:color w:val="auto"/>
                      <w:szCs w:val="21"/>
                    </w:rPr>
                    <w:t>年均浓度</w:t>
                  </w:r>
                </w:p>
              </w:tc>
              <w:tc>
                <w:tcPr>
                  <w:tcW w:w="983" w:type="pct"/>
                  <w:tcBorders>
                    <w:tl2br w:val="nil"/>
                    <w:tr2bl w:val="nil"/>
                  </w:tcBorders>
                  <w:vAlign w:val="center"/>
                </w:tcPr>
                <w:p>
                  <w:pPr>
                    <w:pStyle w:val="90"/>
                    <w:spacing w:line="360" w:lineRule="auto"/>
                    <w:rPr>
                      <w:bCs/>
                      <w:color w:val="auto"/>
                      <w:szCs w:val="21"/>
                    </w:rPr>
                  </w:pPr>
                  <w:r>
                    <w:rPr>
                      <w:bCs/>
                      <w:color w:val="auto"/>
                      <w:szCs w:val="21"/>
                    </w:rPr>
                    <w:t>1</w:t>
                  </w:r>
                  <w:r>
                    <w:rPr>
                      <w:rFonts w:hint="eastAsia"/>
                      <w:bCs/>
                      <w:color w:val="auto"/>
                      <w:szCs w:val="21"/>
                    </w:rPr>
                    <w:t>3</w:t>
                  </w:r>
                </w:p>
              </w:tc>
              <w:tc>
                <w:tcPr>
                  <w:tcW w:w="852" w:type="pct"/>
                  <w:tcBorders>
                    <w:tl2br w:val="nil"/>
                    <w:tr2bl w:val="nil"/>
                  </w:tcBorders>
                  <w:vAlign w:val="center"/>
                </w:tcPr>
                <w:p>
                  <w:pPr>
                    <w:pStyle w:val="90"/>
                    <w:spacing w:line="360" w:lineRule="auto"/>
                    <w:rPr>
                      <w:bCs/>
                      <w:color w:val="auto"/>
                      <w:szCs w:val="21"/>
                    </w:rPr>
                  </w:pPr>
                  <w:r>
                    <w:rPr>
                      <w:bCs/>
                      <w:color w:val="auto"/>
                      <w:szCs w:val="21"/>
                    </w:rPr>
                    <w:t>60</w:t>
                  </w:r>
                </w:p>
              </w:tc>
              <w:tc>
                <w:tcPr>
                  <w:tcW w:w="671" w:type="pct"/>
                  <w:tcBorders>
                    <w:tl2br w:val="nil"/>
                    <w:tr2bl w:val="nil"/>
                  </w:tcBorders>
                  <w:vAlign w:val="center"/>
                </w:tcPr>
                <w:p>
                  <w:pPr>
                    <w:pStyle w:val="90"/>
                    <w:spacing w:line="360" w:lineRule="auto"/>
                    <w:rPr>
                      <w:bCs/>
                      <w:color w:val="auto"/>
                      <w:szCs w:val="21"/>
                    </w:rPr>
                  </w:pPr>
                  <w:r>
                    <w:rPr>
                      <w:bCs/>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562" w:type="pct"/>
                  <w:tcBorders>
                    <w:tl2br w:val="nil"/>
                    <w:tr2bl w:val="nil"/>
                  </w:tcBorders>
                  <w:vAlign w:val="center"/>
                </w:tcPr>
                <w:p>
                  <w:pPr>
                    <w:pStyle w:val="90"/>
                    <w:spacing w:line="360" w:lineRule="auto"/>
                    <w:rPr>
                      <w:bCs/>
                      <w:color w:val="auto"/>
                      <w:szCs w:val="21"/>
                    </w:rPr>
                  </w:pPr>
                  <w:r>
                    <w:rPr>
                      <w:bCs/>
                      <w:color w:val="auto"/>
                      <w:szCs w:val="21"/>
                    </w:rPr>
                    <w:t>NO</w:t>
                  </w:r>
                  <w:r>
                    <w:rPr>
                      <w:bCs/>
                      <w:color w:val="auto"/>
                      <w:szCs w:val="21"/>
                      <w:vertAlign w:val="subscript"/>
                    </w:rPr>
                    <w:t>2</w:t>
                  </w:r>
                </w:p>
              </w:tc>
              <w:tc>
                <w:tcPr>
                  <w:tcW w:w="1930" w:type="pct"/>
                  <w:tcBorders>
                    <w:tl2br w:val="nil"/>
                    <w:tr2bl w:val="nil"/>
                  </w:tcBorders>
                  <w:vAlign w:val="center"/>
                </w:tcPr>
                <w:p>
                  <w:pPr>
                    <w:pStyle w:val="90"/>
                    <w:spacing w:line="360" w:lineRule="auto"/>
                    <w:rPr>
                      <w:bCs/>
                      <w:color w:val="auto"/>
                      <w:szCs w:val="21"/>
                    </w:rPr>
                  </w:pPr>
                  <w:r>
                    <w:rPr>
                      <w:bCs/>
                      <w:color w:val="auto"/>
                      <w:szCs w:val="21"/>
                    </w:rPr>
                    <w:t>年均浓度</w:t>
                  </w:r>
                </w:p>
              </w:tc>
              <w:tc>
                <w:tcPr>
                  <w:tcW w:w="983" w:type="pct"/>
                  <w:tcBorders>
                    <w:tl2br w:val="nil"/>
                    <w:tr2bl w:val="nil"/>
                  </w:tcBorders>
                  <w:vAlign w:val="center"/>
                </w:tcPr>
                <w:p>
                  <w:pPr>
                    <w:pStyle w:val="90"/>
                    <w:spacing w:line="360" w:lineRule="auto"/>
                    <w:rPr>
                      <w:bCs/>
                      <w:color w:val="auto"/>
                      <w:szCs w:val="21"/>
                    </w:rPr>
                  </w:pPr>
                  <w:r>
                    <w:rPr>
                      <w:rFonts w:hint="eastAsia"/>
                      <w:bCs/>
                      <w:color w:val="auto"/>
                      <w:szCs w:val="21"/>
                    </w:rPr>
                    <w:t>8</w:t>
                  </w:r>
                </w:p>
              </w:tc>
              <w:tc>
                <w:tcPr>
                  <w:tcW w:w="852" w:type="pct"/>
                  <w:tcBorders>
                    <w:tl2br w:val="nil"/>
                    <w:tr2bl w:val="nil"/>
                  </w:tcBorders>
                  <w:vAlign w:val="center"/>
                </w:tcPr>
                <w:p>
                  <w:pPr>
                    <w:pStyle w:val="90"/>
                    <w:spacing w:line="360" w:lineRule="auto"/>
                    <w:rPr>
                      <w:bCs/>
                      <w:color w:val="auto"/>
                      <w:szCs w:val="21"/>
                    </w:rPr>
                  </w:pPr>
                  <w:r>
                    <w:rPr>
                      <w:bCs/>
                      <w:color w:val="auto"/>
                      <w:szCs w:val="21"/>
                    </w:rPr>
                    <w:t>40</w:t>
                  </w:r>
                </w:p>
              </w:tc>
              <w:tc>
                <w:tcPr>
                  <w:tcW w:w="671" w:type="pct"/>
                  <w:tcBorders>
                    <w:tl2br w:val="nil"/>
                    <w:tr2bl w:val="nil"/>
                  </w:tcBorders>
                  <w:vAlign w:val="center"/>
                </w:tcPr>
                <w:p>
                  <w:pPr>
                    <w:pStyle w:val="90"/>
                    <w:spacing w:line="360" w:lineRule="auto"/>
                    <w:rPr>
                      <w:bCs/>
                      <w:color w:val="auto"/>
                      <w:szCs w:val="21"/>
                    </w:rPr>
                  </w:pPr>
                  <w:r>
                    <w:rPr>
                      <w:bCs/>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62" w:type="pct"/>
                  <w:tcBorders>
                    <w:tl2br w:val="nil"/>
                    <w:tr2bl w:val="nil"/>
                  </w:tcBorders>
                  <w:vAlign w:val="center"/>
                </w:tcPr>
                <w:p>
                  <w:pPr>
                    <w:pStyle w:val="90"/>
                    <w:spacing w:line="360" w:lineRule="auto"/>
                    <w:rPr>
                      <w:bCs/>
                      <w:color w:val="auto"/>
                      <w:szCs w:val="21"/>
                    </w:rPr>
                  </w:pPr>
                  <w:r>
                    <w:rPr>
                      <w:bCs/>
                      <w:color w:val="auto"/>
                      <w:szCs w:val="21"/>
                    </w:rPr>
                    <w:t>PM</w:t>
                  </w:r>
                  <w:r>
                    <w:rPr>
                      <w:bCs/>
                      <w:color w:val="auto"/>
                      <w:szCs w:val="21"/>
                      <w:vertAlign w:val="subscript"/>
                    </w:rPr>
                    <w:t>10</w:t>
                  </w:r>
                </w:p>
              </w:tc>
              <w:tc>
                <w:tcPr>
                  <w:tcW w:w="1930" w:type="pct"/>
                  <w:tcBorders>
                    <w:tl2br w:val="nil"/>
                    <w:tr2bl w:val="nil"/>
                  </w:tcBorders>
                  <w:vAlign w:val="center"/>
                </w:tcPr>
                <w:p>
                  <w:pPr>
                    <w:pStyle w:val="90"/>
                    <w:spacing w:line="360" w:lineRule="auto"/>
                    <w:rPr>
                      <w:bCs/>
                      <w:color w:val="auto"/>
                      <w:szCs w:val="21"/>
                    </w:rPr>
                  </w:pPr>
                  <w:r>
                    <w:rPr>
                      <w:bCs/>
                      <w:color w:val="auto"/>
                      <w:szCs w:val="21"/>
                    </w:rPr>
                    <w:t>年均浓度</w:t>
                  </w:r>
                </w:p>
              </w:tc>
              <w:tc>
                <w:tcPr>
                  <w:tcW w:w="983" w:type="pct"/>
                  <w:tcBorders>
                    <w:tl2br w:val="nil"/>
                    <w:tr2bl w:val="nil"/>
                  </w:tcBorders>
                  <w:vAlign w:val="center"/>
                </w:tcPr>
                <w:p>
                  <w:pPr>
                    <w:pStyle w:val="90"/>
                    <w:spacing w:line="360" w:lineRule="auto"/>
                    <w:rPr>
                      <w:bCs/>
                      <w:color w:val="auto"/>
                      <w:szCs w:val="21"/>
                    </w:rPr>
                  </w:pPr>
                  <w:r>
                    <w:rPr>
                      <w:rFonts w:hint="eastAsia"/>
                      <w:bCs/>
                      <w:color w:val="auto"/>
                      <w:szCs w:val="21"/>
                    </w:rPr>
                    <w:t>4</w:t>
                  </w:r>
                  <w:r>
                    <w:rPr>
                      <w:bCs/>
                      <w:color w:val="auto"/>
                      <w:szCs w:val="21"/>
                    </w:rPr>
                    <w:t>6</w:t>
                  </w:r>
                </w:p>
              </w:tc>
              <w:tc>
                <w:tcPr>
                  <w:tcW w:w="852" w:type="pct"/>
                  <w:tcBorders>
                    <w:tl2br w:val="nil"/>
                    <w:tr2bl w:val="nil"/>
                  </w:tcBorders>
                  <w:vAlign w:val="center"/>
                </w:tcPr>
                <w:p>
                  <w:pPr>
                    <w:pStyle w:val="90"/>
                    <w:spacing w:line="360" w:lineRule="auto"/>
                    <w:rPr>
                      <w:bCs/>
                      <w:color w:val="auto"/>
                      <w:szCs w:val="21"/>
                    </w:rPr>
                  </w:pPr>
                  <w:r>
                    <w:rPr>
                      <w:bCs/>
                      <w:color w:val="auto"/>
                      <w:szCs w:val="21"/>
                    </w:rPr>
                    <w:t>70</w:t>
                  </w:r>
                </w:p>
              </w:tc>
              <w:tc>
                <w:tcPr>
                  <w:tcW w:w="671" w:type="pct"/>
                  <w:tcBorders>
                    <w:tl2br w:val="nil"/>
                    <w:tr2bl w:val="nil"/>
                  </w:tcBorders>
                  <w:vAlign w:val="center"/>
                </w:tcPr>
                <w:p>
                  <w:pPr>
                    <w:pStyle w:val="90"/>
                    <w:spacing w:line="360" w:lineRule="auto"/>
                    <w:rPr>
                      <w:bCs/>
                      <w:color w:val="auto"/>
                      <w:szCs w:val="21"/>
                    </w:rPr>
                  </w:pPr>
                  <w:r>
                    <w:rPr>
                      <w:bCs/>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62" w:type="pct"/>
                  <w:tcBorders>
                    <w:tl2br w:val="nil"/>
                    <w:tr2bl w:val="nil"/>
                  </w:tcBorders>
                  <w:vAlign w:val="center"/>
                </w:tcPr>
                <w:p>
                  <w:pPr>
                    <w:pStyle w:val="90"/>
                    <w:spacing w:line="360" w:lineRule="auto"/>
                    <w:rPr>
                      <w:bCs/>
                      <w:color w:val="auto"/>
                      <w:szCs w:val="21"/>
                    </w:rPr>
                  </w:pPr>
                  <w:r>
                    <w:rPr>
                      <w:bCs/>
                      <w:color w:val="auto"/>
                      <w:szCs w:val="21"/>
                    </w:rPr>
                    <w:t>PM</w:t>
                  </w:r>
                  <w:r>
                    <w:rPr>
                      <w:bCs/>
                      <w:color w:val="auto"/>
                      <w:szCs w:val="21"/>
                      <w:vertAlign w:val="subscript"/>
                    </w:rPr>
                    <w:t>2.5</w:t>
                  </w:r>
                </w:p>
              </w:tc>
              <w:tc>
                <w:tcPr>
                  <w:tcW w:w="1930" w:type="pct"/>
                  <w:tcBorders>
                    <w:tl2br w:val="nil"/>
                    <w:tr2bl w:val="nil"/>
                  </w:tcBorders>
                  <w:vAlign w:val="center"/>
                </w:tcPr>
                <w:p>
                  <w:pPr>
                    <w:pStyle w:val="90"/>
                    <w:spacing w:line="360" w:lineRule="auto"/>
                    <w:rPr>
                      <w:bCs/>
                      <w:color w:val="auto"/>
                      <w:szCs w:val="21"/>
                    </w:rPr>
                  </w:pPr>
                  <w:r>
                    <w:rPr>
                      <w:bCs/>
                      <w:color w:val="auto"/>
                      <w:szCs w:val="21"/>
                    </w:rPr>
                    <w:t>年均浓度</w:t>
                  </w:r>
                </w:p>
              </w:tc>
              <w:tc>
                <w:tcPr>
                  <w:tcW w:w="983" w:type="pct"/>
                  <w:tcBorders>
                    <w:tl2br w:val="nil"/>
                    <w:tr2bl w:val="nil"/>
                  </w:tcBorders>
                  <w:vAlign w:val="center"/>
                </w:tcPr>
                <w:p>
                  <w:pPr>
                    <w:pStyle w:val="90"/>
                    <w:spacing w:line="360" w:lineRule="auto"/>
                    <w:rPr>
                      <w:bCs/>
                      <w:color w:val="auto"/>
                      <w:szCs w:val="21"/>
                    </w:rPr>
                  </w:pPr>
                  <w:r>
                    <w:rPr>
                      <w:bCs/>
                      <w:color w:val="auto"/>
                      <w:szCs w:val="21"/>
                    </w:rPr>
                    <w:t>1</w:t>
                  </w:r>
                  <w:r>
                    <w:rPr>
                      <w:rFonts w:hint="eastAsia"/>
                      <w:bCs/>
                      <w:color w:val="auto"/>
                      <w:szCs w:val="21"/>
                    </w:rPr>
                    <w:t>0</w:t>
                  </w:r>
                </w:p>
              </w:tc>
              <w:tc>
                <w:tcPr>
                  <w:tcW w:w="852" w:type="pct"/>
                  <w:tcBorders>
                    <w:tl2br w:val="nil"/>
                    <w:tr2bl w:val="nil"/>
                  </w:tcBorders>
                  <w:vAlign w:val="center"/>
                </w:tcPr>
                <w:p>
                  <w:pPr>
                    <w:pStyle w:val="90"/>
                    <w:spacing w:line="360" w:lineRule="auto"/>
                    <w:rPr>
                      <w:bCs/>
                      <w:color w:val="auto"/>
                      <w:szCs w:val="21"/>
                    </w:rPr>
                  </w:pPr>
                  <w:r>
                    <w:rPr>
                      <w:bCs/>
                      <w:color w:val="auto"/>
                      <w:szCs w:val="21"/>
                    </w:rPr>
                    <w:t>35</w:t>
                  </w:r>
                </w:p>
              </w:tc>
              <w:tc>
                <w:tcPr>
                  <w:tcW w:w="671" w:type="pct"/>
                  <w:tcBorders>
                    <w:tl2br w:val="nil"/>
                    <w:tr2bl w:val="nil"/>
                  </w:tcBorders>
                  <w:vAlign w:val="center"/>
                </w:tcPr>
                <w:p>
                  <w:pPr>
                    <w:pStyle w:val="90"/>
                    <w:spacing w:line="360" w:lineRule="auto"/>
                    <w:rPr>
                      <w:bCs/>
                      <w:color w:val="auto"/>
                      <w:szCs w:val="21"/>
                    </w:rPr>
                  </w:pPr>
                  <w:r>
                    <w:rPr>
                      <w:bCs/>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2" w:type="pct"/>
                  <w:tcBorders>
                    <w:tl2br w:val="nil"/>
                    <w:tr2bl w:val="nil"/>
                  </w:tcBorders>
                  <w:vAlign w:val="center"/>
                </w:tcPr>
                <w:p>
                  <w:pPr>
                    <w:pStyle w:val="90"/>
                    <w:spacing w:line="360" w:lineRule="auto"/>
                    <w:rPr>
                      <w:bCs/>
                      <w:color w:val="auto"/>
                      <w:szCs w:val="21"/>
                    </w:rPr>
                  </w:pPr>
                  <w:r>
                    <w:rPr>
                      <w:bCs/>
                      <w:color w:val="auto"/>
                      <w:szCs w:val="21"/>
                    </w:rPr>
                    <w:t>CO</w:t>
                  </w:r>
                </w:p>
              </w:tc>
              <w:tc>
                <w:tcPr>
                  <w:tcW w:w="1930" w:type="pct"/>
                  <w:tcBorders>
                    <w:tl2br w:val="nil"/>
                    <w:tr2bl w:val="nil"/>
                  </w:tcBorders>
                  <w:vAlign w:val="center"/>
                </w:tcPr>
                <w:p>
                  <w:pPr>
                    <w:pStyle w:val="90"/>
                    <w:spacing w:line="360" w:lineRule="auto"/>
                    <w:rPr>
                      <w:bCs/>
                      <w:color w:val="auto"/>
                      <w:szCs w:val="21"/>
                    </w:rPr>
                  </w:pPr>
                  <w:r>
                    <w:rPr>
                      <w:bCs/>
                      <w:color w:val="auto"/>
                      <w:szCs w:val="21"/>
                    </w:rPr>
                    <w:t>24小时平均第95百分位数</w:t>
                  </w:r>
                </w:p>
              </w:tc>
              <w:tc>
                <w:tcPr>
                  <w:tcW w:w="983" w:type="pct"/>
                  <w:tcBorders>
                    <w:tl2br w:val="nil"/>
                    <w:tr2bl w:val="nil"/>
                  </w:tcBorders>
                  <w:vAlign w:val="center"/>
                </w:tcPr>
                <w:p>
                  <w:pPr>
                    <w:pStyle w:val="90"/>
                    <w:spacing w:line="360" w:lineRule="auto"/>
                    <w:rPr>
                      <w:bCs/>
                      <w:color w:val="auto"/>
                      <w:szCs w:val="21"/>
                    </w:rPr>
                  </w:pPr>
                  <w:r>
                    <w:rPr>
                      <w:rFonts w:hint="eastAsia"/>
                      <w:bCs/>
                      <w:color w:val="auto"/>
                      <w:szCs w:val="21"/>
                    </w:rPr>
                    <w:t>7</w:t>
                  </w:r>
                  <w:r>
                    <w:rPr>
                      <w:bCs/>
                      <w:color w:val="auto"/>
                      <w:szCs w:val="21"/>
                    </w:rPr>
                    <w:t>00</w:t>
                  </w:r>
                </w:p>
              </w:tc>
              <w:tc>
                <w:tcPr>
                  <w:tcW w:w="852" w:type="pct"/>
                  <w:tcBorders>
                    <w:tl2br w:val="nil"/>
                    <w:tr2bl w:val="nil"/>
                  </w:tcBorders>
                  <w:vAlign w:val="center"/>
                </w:tcPr>
                <w:p>
                  <w:pPr>
                    <w:pStyle w:val="90"/>
                    <w:spacing w:line="360" w:lineRule="auto"/>
                    <w:rPr>
                      <w:bCs/>
                      <w:color w:val="auto"/>
                      <w:szCs w:val="21"/>
                    </w:rPr>
                  </w:pPr>
                  <w:r>
                    <w:rPr>
                      <w:bCs/>
                      <w:color w:val="auto"/>
                      <w:szCs w:val="21"/>
                    </w:rPr>
                    <w:t>4000</w:t>
                  </w:r>
                </w:p>
              </w:tc>
              <w:tc>
                <w:tcPr>
                  <w:tcW w:w="671" w:type="pct"/>
                  <w:tcBorders>
                    <w:tl2br w:val="nil"/>
                    <w:tr2bl w:val="nil"/>
                  </w:tcBorders>
                  <w:vAlign w:val="center"/>
                </w:tcPr>
                <w:p>
                  <w:pPr>
                    <w:pStyle w:val="90"/>
                    <w:spacing w:line="360" w:lineRule="auto"/>
                    <w:rPr>
                      <w:bCs/>
                      <w:color w:val="auto"/>
                      <w:szCs w:val="21"/>
                    </w:rPr>
                  </w:pPr>
                  <w:r>
                    <w:rPr>
                      <w:bCs/>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pct"/>
                  <w:tcBorders>
                    <w:tl2br w:val="nil"/>
                    <w:tr2bl w:val="nil"/>
                  </w:tcBorders>
                  <w:vAlign w:val="center"/>
                </w:tcPr>
                <w:p>
                  <w:pPr>
                    <w:pStyle w:val="90"/>
                    <w:spacing w:line="360" w:lineRule="auto"/>
                    <w:rPr>
                      <w:bCs/>
                      <w:color w:val="auto"/>
                      <w:szCs w:val="21"/>
                    </w:rPr>
                  </w:pPr>
                  <w:r>
                    <w:rPr>
                      <w:bCs/>
                      <w:color w:val="auto"/>
                      <w:szCs w:val="21"/>
                    </w:rPr>
                    <w:t>O</w:t>
                  </w:r>
                  <w:r>
                    <w:rPr>
                      <w:bCs/>
                      <w:color w:val="auto"/>
                      <w:szCs w:val="21"/>
                      <w:vertAlign w:val="subscript"/>
                    </w:rPr>
                    <w:t>3</w:t>
                  </w:r>
                </w:p>
              </w:tc>
              <w:tc>
                <w:tcPr>
                  <w:tcW w:w="1930" w:type="pct"/>
                  <w:tcBorders>
                    <w:tl2br w:val="nil"/>
                    <w:tr2bl w:val="nil"/>
                  </w:tcBorders>
                  <w:vAlign w:val="center"/>
                </w:tcPr>
                <w:p>
                  <w:pPr>
                    <w:pStyle w:val="90"/>
                    <w:spacing w:line="360" w:lineRule="auto"/>
                    <w:rPr>
                      <w:bCs/>
                      <w:color w:val="auto"/>
                      <w:szCs w:val="21"/>
                    </w:rPr>
                  </w:pPr>
                  <w:r>
                    <w:rPr>
                      <w:bCs/>
                      <w:color w:val="auto"/>
                      <w:szCs w:val="21"/>
                    </w:rPr>
                    <w:t>最大8小时平均第90百分位数</w:t>
                  </w:r>
                </w:p>
              </w:tc>
              <w:tc>
                <w:tcPr>
                  <w:tcW w:w="983" w:type="pct"/>
                  <w:tcBorders>
                    <w:tl2br w:val="nil"/>
                    <w:tr2bl w:val="nil"/>
                  </w:tcBorders>
                  <w:vAlign w:val="center"/>
                </w:tcPr>
                <w:p>
                  <w:pPr>
                    <w:pStyle w:val="90"/>
                    <w:spacing w:line="360" w:lineRule="auto"/>
                    <w:rPr>
                      <w:bCs/>
                      <w:color w:val="auto"/>
                      <w:szCs w:val="21"/>
                    </w:rPr>
                  </w:pPr>
                  <w:r>
                    <w:rPr>
                      <w:bCs/>
                      <w:color w:val="auto"/>
                      <w:szCs w:val="21"/>
                    </w:rPr>
                    <w:t>1</w:t>
                  </w:r>
                  <w:r>
                    <w:rPr>
                      <w:rFonts w:hint="eastAsia"/>
                      <w:bCs/>
                      <w:color w:val="auto"/>
                      <w:szCs w:val="21"/>
                    </w:rPr>
                    <w:t>11</w:t>
                  </w:r>
                </w:p>
              </w:tc>
              <w:tc>
                <w:tcPr>
                  <w:tcW w:w="852" w:type="pct"/>
                  <w:tcBorders>
                    <w:tl2br w:val="nil"/>
                    <w:tr2bl w:val="nil"/>
                  </w:tcBorders>
                  <w:vAlign w:val="center"/>
                </w:tcPr>
                <w:p>
                  <w:pPr>
                    <w:pStyle w:val="90"/>
                    <w:spacing w:line="360" w:lineRule="auto"/>
                    <w:rPr>
                      <w:bCs/>
                      <w:color w:val="auto"/>
                      <w:szCs w:val="21"/>
                    </w:rPr>
                  </w:pPr>
                  <w:r>
                    <w:rPr>
                      <w:bCs/>
                      <w:color w:val="auto"/>
                      <w:szCs w:val="21"/>
                    </w:rPr>
                    <w:t>160</w:t>
                  </w:r>
                </w:p>
              </w:tc>
              <w:tc>
                <w:tcPr>
                  <w:tcW w:w="671" w:type="pct"/>
                  <w:tcBorders>
                    <w:tl2br w:val="nil"/>
                    <w:tr2bl w:val="nil"/>
                  </w:tcBorders>
                  <w:vAlign w:val="center"/>
                </w:tcPr>
                <w:p>
                  <w:pPr>
                    <w:pStyle w:val="90"/>
                    <w:spacing w:line="360" w:lineRule="auto"/>
                    <w:rPr>
                      <w:bCs/>
                      <w:color w:val="auto"/>
                      <w:szCs w:val="21"/>
                    </w:rPr>
                  </w:pPr>
                  <w:r>
                    <w:rPr>
                      <w:bCs/>
                      <w:color w:val="auto"/>
                      <w:szCs w:val="21"/>
                    </w:rPr>
                    <w:t>达标</w:t>
                  </w:r>
                </w:p>
              </w:tc>
            </w:tr>
          </w:tbl>
          <w:p>
            <w:pPr>
              <w:ind w:firstLine="480"/>
              <w:jc w:val="left"/>
              <w:rPr>
                <w:color w:val="auto"/>
              </w:rPr>
            </w:pPr>
          </w:p>
          <w:p>
            <w:pPr>
              <w:ind w:firstLine="480"/>
              <w:jc w:val="left"/>
              <w:rPr>
                <w:color w:val="auto"/>
              </w:rPr>
            </w:pPr>
            <w:r>
              <w:rPr>
                <w:color w:val="auto"/>
              </w:rPr>
              <w:t>海南藏族自治州</w:t>
            </w:r>
            <w:r>
              <w:rPr>
                <w:rFonts w:hint="eastAsia"/>
                <w:color w:val="auto"/>
              </w:rPr>
              <w:t>同德县</w:t>
            </w:r>
            <w:r>
              <w:rPr>
                <w:color w:val="auto"/>
              </w:rPr>
              <w:t>2023年SO</w:t>
            </w:r>
            <w:r>
              <w:rPr>
                <w:color w:val="auto"/>
                <w:vertAlign w:val="subscript"/>
              </w:rPr>
              <w:t>2</w:t>
            </w:r>
            <w:r>
              <w:rPr>
                <w:color w:val="auto"/>
              </w:rPr>
              <w:t>、NO</w:t>
            </w:r>
            <w:r>
              <w:rPr>
                <w:color w:val="auto"/>
                <w:vertAlign w:val="subscript"/>
              </w:rPr>
              <w:t>2</w:t>
            </w:r>
            <w:r>
              <w:rPr>
                <w:color w:val="auto"/>
              </w:rPr>
              <w:t>、PM</w:t>
            </w:r>
            <w:r>
              <w:rPr>
                <w:color w:val="auto"/>
                <w:vertAlign w:val="subscript"/>
              </w:rPr>
              <w:t>10</w:t>
            </w:r>
            <w:r>
              <w:rPr>
                <w:color w:val="auto"/>
              </w:rPr>
              <w:t>、PM</w:t>
            </w:r>
            <w:r>
              <w:rPr>
                <w:color w:val="auto"/>
                <w:vertAlign w:val="subscript"/>
              </w:rPr>
              <w:t>2.5</w:t>
            </w:r>
            <w:r>
              <w:rPr>
                <w:rFonts w:hint="eastAsia"/>
                <w:color w:val="auto"/>
              </w:rPr>
              <w:t>、</w:t>
            </w:r>
            <w:r>
              <w:rPr>
                <w:color w:val="auto"/>
              </w:rPr>
              <w:t>CO</w:t>
            </w:r>
            <w:r>
              <w:rPr>
                <w:rFonts w:hint="eastAsia"/>
                <w:color w:val="auto"/>
              </w:rPr>
              <w:t>、</w:t>
            </w:r>
            <w:r>
              <w:rPr>
                <w:color w:val="auto"/>
              </w:rPr>
              <w:t>O</w:t>
            </w:r>
            <w:r>
              <w:rPr>
                <w:color w:val="auto"/>
                <w:vertAlign w:val="subscript"/>
              </w:rPr>
              <w:t>3</w:t>
            </w:r>
            <w:r>
              <w:rPr>
                <w:rFonts w:hint="eastAsia"/>
                <w:color w:val="auto"/>
              </w:rPr>
              <w:t>等</w:t>
            </w:r>
            <w:r>
              <w:rPr>
                <w:color w:val="auto"/>
              </w:rPr>
              <w:t>各污染物平均浓度均优于《环境空气质量标准》（GB3095-2012）中二级标准限值，该区域属于达标区。</w:t>
            </w:r>
          </w:p>
          <w:p>
            <w:pPr>
              <w:ind w:firstLine="482"/>
              <w:rPr>
                <w:b/>
                <w:bCs/>
                <w:color w:val="auto"/>
              </w:rPr>
            </w:pPr>
            <w:r>
              <w:rPr>
                <w:rFonts w:hint="eastAsia"/>
                <w:b/>
                <w:bCs/>
                <w:color w:val="auto"/>
              </w:rPr>
              <w:t>1.2特征污染物</w:t>
            </w:r>
          </w:p>
          <w:p>
            <w:pPr>
              <w:ind w:firstLine="480"/>
              <w:rPr>
                <w:color w:val="auto"/>
              </w:rPr>
            </w:pPr>
            <w:r>
              <w:rPr>
                <w:rFonts w:hint="eastAsia"/>
                <w:color w:val="auto"/>
              </w:rPr>
              <w:t>本项目特征污染物为苯并芘，苯并芘委托进行青海柏朗检测科技有限公司检测（详见附件）</w:t>
            </w:r>
            <w:r>
              <w:rPr>
                <w:rFonts w:hint="eastAsia"/>
                <w:color w:val="auto"/>
                <w:lang w:eastAsia="zh-CN"/>
              </w:rPr>
              <w:t>，</w:t>
            </w:r>
            <w:r>
              <w:rPr>
                <w:rFonts w:hint="eastAsia"/>
                <w:color w:val="auto"/>
                <w:lang w:val="en-US" w:eastAsia="zh-CN"/>
              </w:rPr>
              <w:t>监测点位为项目区内，监测时间为</w:t>
            </w:r>
            <w:r>
              <w:rPr>
                <w:rFonts w:hint="eastAsia"/>
                <w:color w:val="auto"/>
              </w:rPr>
              <w:t>2025年4月28日～2025年4月30日。</w:t>
            </w:r>
          </w:p>
          <w:p>
            <w:pPr>
              <w:ind w:firstLine="480"/>
              <w:rPr>
                <w:color w:val="auto"/>
              </w:rPr>
            </w:pPr>
            <w:r>
              <w:rPr>
                <w:rFonts w:hint="eastAsia"/>
                <w:color w:val="auto"/>
              </w:rPr>
              <w:t>根据监测统计结果可知：监测点位中苯并芘未检出，能满足《环境空气质量标准》(GB3095-2012)中的二级标准</w:t>
            </w:r>
            <w:r>
              <w:rPr>
                <w:rFonts w:hint="eastAsia"/>
                <w:color w:val="auto"/>
                <w:lang w:eastAsia="zh-CN"/>
              </w:rPr>
              <w:t>。</w:t>
            </w:r>
          </w:p>
          <w:p>
            <w:pPr>
              <w:pStyle w:val="4"/>
              <w:rPr>
                <w:color w:val="auto"/>
              </w:rPr>
            </w:pPr>
            <w:r>
              <w:rPr>
                <w:rFonts w:hint="eastAsia"/>
                <w:color w:val="auto"/>
              </w:rPr>
              <w:t>2地表水</w:t>
            </w:r>
            <w:r>
              <w:rPr>
                <w:rFonts w:hint="eastAsia" w:cs="宋体"/>
                <w:color w:val="auto"/>
                <w:kern w:val="0"/>
                <w:szCs w:val="21"/>
              </w:rPr>
              <w:t>环境</w:t>
            </w:r>
          </w:p>
          <w:p>
            <w:pPr>
              <w:ind w:firstLine="480"/>
              <w:jc w:val="left"/>
              <w:rPr>
                <w:color w:val="auto"/>
              </w:rPr>
            </w:pPr>
            <w:r>
              <w:rPr>
                <w:rFonts w:hint="eastAsia"/>
                <w:color w:val="auto"/>
              </w:rPr>
              <w:t>评价区的地表水体为</w:t>
            </w:r>
            <w:r>
              <w:rPr>
                <w:color w:val="auto"/>
              </w:rPr>
              <w:t>尕干曲</w:t>
            </w:r>
            <w:r>
              <w:rPr>
                <w:rFonts w:hint="eastAsia"/>
                <w:color w:val="auto"/>
              </w:rPr>
              <w:t>，位于项目西侧460m，</w:t>
            </w:r>
            <w:r>
              <w:rPr>
                <w:color w:val="auto"/>
              </w:rPr>
              <w:t>尕干曲属于黄河右岸二级支流，根据《青海省水环境功能区划》（2004），尕干曲现状水质为</w:t>
            </w:r>
            <w:r>
              <w:rPr>
                <w:color w:val="auto"/>
                <w:kern w:val="0"/>
              </w:rPr>
              <w:t>Ⅱ</w:t>
            </w:r>
            <w:r>
              <w:rPr>
                <w:color w:val="auto"/>
              </w:rPr>
              <w:t>类水体。</w:t>
            </w:r>
          </w:p>
          <w:p>
            <w:pPr>
              <w:widowControl/>
              <w:ind w:firstLine="480"/>
              <w:rPr>
                <w:color w:val="auto"/>
              </w:rPr>
            </w:pPr>
            <w:r>
              <w:rPr>
                <w:rFonts w:hint="eastAsia"/>
                <w:color w:val="auto"/>
              </w:rPr>
              <w:t>根据</w:t>
            </w:r>
            <w:r>
              <w:rPr>
                <w:color w:val="auto"/>
              </w:rPr>
              <w:t>青海省生态环境厅官网发布的《202</w:t>
            </w:r>
            <w:r>
              <w:rPr>
                <w:rFonts w:hint="eastAsia"/>
                <w:color w:val="auto"/>
              </w:rPr>
              <w:t>3</w:t>
            </w:r>
            <w:r>
              <w:rPr>
                <w:color w:val="auto"/>
              </w:rPr>
              <w:t>年青海省生态环境状况公报》中202</w:t>
            </w:r>
            <w:r>
              <w:rPr>
                <w:rFonts w:hint="eastAsia"/>
                <w:color w:val="auto"/>
              </w:rPr>
              <w:t>3</w:t>
            </w:r>
            <w:r>
              <w:rPr>
                <w:color w:val="auto"/>
              </w:rPr>
              <w:t>年全省地表水水质状况可知，202</w:t>
            </w:r>
            <w:r>
              <w:rPr>
                <w:rFonts w:hint="eastAsia"/>
                <w:color w:val="auto"/>
              </w:rPr>
              <w:t>3</w:t>
            </w:r>
            <w:r>
              <w:rPr>
                <w:color w:val="auto"/>
              </w:rPr>
              <w:t>年黄河上游支流巴曲河监测断面水质达到</w:t>
            </w:r>
            <w:r>
              <w:rPr>
                <w:color w:val="auto"/>
              </w:rPr>
              <w:fldChar w:fldCharType="begin"/>
            </w:r>
            <w:r>
              <w:rPr>
                <w:color w:val="auto"/>
              </w:rPr>
              <w:instrText xml:space="preserve"> = 2 \* ROMAN \* MERGEFORMAT </w:instrText>
            </w:r>
            <w:r>
              <w:rPr>
                <w:color w:val="auto"/>
              </w:rPr>
              <w:fldChar w:fldCharType="separate"/>
            </w:r>
            <w:r>
              <w:rPr>
                <w:color w:val="auto"/>
              </w:rPr>
              <w:t>II</w:t>
            </w:r>
            <w:r>
              <w:rPr>
                <w:color w:val="auto"/>
              </w:rPr>
              <w:fldChar w:fldCharType="end"/>
            </w:r>
            <w:r>
              <w:rPr>
                <w:color w:val="auto"/>
              </w:rPr>
              <w:t>类。</w:t>
            </w:r>
          </w:p>
          <w:p>
            <w:pPr>
              <w:ind w:firstLine="0" w:firstLineChars="0"/>
              <w:jc w:val="left"/>
              <w:rPr>
                <w:color w:val="auto"/>
              </w:rPr>
            </w:pPr>
            <w:r>
              <w:rPr>
                <w:color w:val="auto"/>
              </w:rPr>
              <w:drawing>
                <wp:inline distT="0" distB="0" distL="114300" distR="114300">
                  <wp:extent cx="5045710" cy="4013835"/>
                  <wp:effectExtent l="0" t="0" r="2540" b="571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5045710" cy="4013835"/>
                          </a:xfrm>
                          <a:prstGeom prst="rect">
                            <a:avLst/>
                          </a:prstGeom>
                          <a:noFill/>
                          <a:ln>
                            <a:noFill/>
                          </a:ln>
                        </pic:spPr>
                      </pic:pic>
                    </a:graphicData>
                  </a:graphic>
                </wp:inline>
              </w:drawing>
            </w:r>
          </w:p>
          <w:p>
            <w:pPr>
              <w:pStyle w:val="4"/>
              <w:rPr>
                <w:color w:val="auto"/>
              </w:rPr>
            </w:pPr>
            <w:r>
              <w:rPr>
                <w:rFonts w:hint="eastAsia"/>
                <w:color w:val="auto"/>
              </w:rPr>
              <w:t>3声环境</w:t>
            </w:r>
          </w:p>
          <w:p>
            <w:pPr>
              <w:ind w:left="5" w:leftChars="2" w:right="84" w:rightChars="35" w:firstLine="472" w:firstLineChars="197"/>
              <w:rPr>
                <w:rFonts w:hint="eastAsia" w:hAnsi="宋体"/>
                <w:color w:val="auto"/>
              </w:rPr>
            </w:pPr>
            <w:r>
              <w:rPr>
                <w:rFonts w:hint="eastAsia" w:ascii="宋体" w:hAnsi="宋体"/>
                <w:color w:val="auto"/>
                <w:lang w:bidi="ar"/>
              </w:rPr>
              <w:t>根据现场调查，项目用地50米范围内无环境敏感目标（依据法律、法规、标准政策等确定的需要保持安静的建筑物及建筑物集中区）分布，考虑本项目为生产型企业。为了解声环境质量背景情况，本次对位于项目厂界四周进行了监测，监测情况如下：</w:t>
            </w:r>
          </w:p>
          <w:p>
            <w:pPr>
              <w:numPr>
                <w:ilvl w:val="0"/>
                <w:numId w:val="6"/>
              </w:numPr>
              <w:ind w:left="5" w:leftChars="2" w:right="84" w:rightChars="35" w:firstLine="472" w:firstLineChars="197"/>
              <w:rPr>
                <w:rFonts w:hint="eastAsia" w:hAnsi="宋体"/>
                <w:color w:val="auto"/>
              </w:rPr>
            </w:pPr>
            <w:r>
              <w:rPr>
                <w:rFonts w:hAnsi="宋体"/>
                <w:color w:val="auto"/>
              </w:rPr>
              <w:t>监测布点</w:t>
            </w:r>
            <w:r>
              <w:rPr>
                <w:rFonts w:hint="eastAsia" w:hAnsi="宋体"/>
                <w:color w:val="auto"/>
              </w:rPr>
              <w:t>:厂界东南西北四侧。</w:t>
            </w:r>
          </w:p>
          <w:p>
            <w:pPr>
              <w:ind w:right="84" w:rightChars="35" w:firstLine="480"/>
              <w:rPr>
                <w:color w:val="auto"/>
              </w:rPr>
            </w:pPr>
            <w:r>
              <w:rPr>
                <w:rFonts w:hint="eastAsia" w:hAnsi="宋体"/>
                <w:color w:val="auto"/>
              </w:rPr>
              <w:t>2.</w:t>
            </w:r>
            <w:r>
              <w:rPr>
                <w:rFonts w:hAnsi="宋体"/>
                <w:color w:val="auto"/>
              </w:rPr>
              <w:t>监测时间及</w:t>
            </w:r>
            <w:r>
              <w:rPr>
                <w:rFonts w:ascii="宋体" w:hAnsi="宋体"/>
                <w:bCs/>
                <w:color w:val="auto"/>
              </w:rPr>
              <w:t>频次</w:t>
            </w:r>
            <w:r>
              <w:rPr>
                <w:rFonts w:hint="eastAsia" w:hAnsi="宋体"/>
                <w:color w:val="auto"/>
              </w:rPr>
              <w:t>:</w:t>
            </w:r>
            <w:r>
              <w:rPr>
                <w:color w:val="auto"/>
              </w:rPr>
              <w:t>20</w:t>
            </w:r>
            <w:r>
              <w:rPr>
                <w:rFonts w:hint="eastAsia"/>
                <w:color w:val="auto"/>
              </w:rPr>
              <w:t>25</w:t>
            </w:r>
            <w:r>
              <w:rPr>
                <w:rFonts w:hAnsi="宋体"/>
                <w:color w:val="auto"/>
              </w:rPr>
              <w:t>年</w:t>
            </w:r>
            <w:r>
              <w:rPr>
                <w:rFonts w:hint="eastAsia" w:hAnsi="宋体"/>
                <w:color w:val="auto"/>
              </w:rPr>
              <w:t>4</w:t>
            </w:r>
            <w:r>
              <w:rPr>
                <w:rFonts w:hAnsi="宋体"/>
                <w:color w:val="auto"/>
              </w:rPr>
              <w:t>月</w:t>
            </w:r>
            <w:r>
              <w:rPr>
                <w:rFonts w:hint="eastAsia"/>
                <w:color w:val="auto"/>
              </w:rPr>
              <w:t>28</w:t>
            </w:r>
            <w:r>
              <w:rPr>
                <w:rFonts w:hAnsi="宋体"/>
                <w:color w:val="auto"/>
              </w:rPr>
              <w:t>日</w:t>
            </w:r>
            <w:r>
              <w:rPr>
                <w:rFonts w:hint="eastAsia" w:hAnsi="宋体"/>
                <w:color w:val="auto"/>
              </w:rPr>
              <w:t>、29日</w:t>
            </w:r>
            <w:r>
              <w:rPr>
                <w:rFonts w:hAnsi="宋体"/>
                <w:color w:val="auto"/>
              </w:rPr>
              <w:t>，监测</w:t>
            </w:r>
            <w:r>
              <w:rPr>
                <w:rFonts w:hint="eastAsia"/>
                <w:color w:val="auto"/>
              </w:rPr>
              <w:t>2</w:t>
            </w:r>
            <w:r>
              <w:rPr>
                <w:rFonts w:hAnsi="宋体"/>
                <w:color w:val="auto"/>
              </w:rPr>
              <w:t>天，</w:t>
            </w:r>
            <w:r>
              <w:rPr>
                <w:rFonts w:ascii="宋体" w:hAnsi="宋体"/>
                <w:color w:val="auto"/>
              </w:rPr>
              <w:t>昼</w:t>
            </w:r>
            <w:r>
              <w:rPr>
                <w:rFonts w:hint="eastAsia" w:ascii="宋体" w:hAnsi="宋体"/>
                <w:color w:val="auto"/>
              </w:rPr>
              <w:t>间、夜间各监测</w:t>
            </w:r>
            <w:r>
              <w:rPr>
                <w:rFonts w:ascii="宋体" w:hAnsi="宋体"/>
                <w:color w:val="auto"/>
              </w:rPr>
              <w:t>1次</w:t>
            </w:r>
            <w:r>
              <w:rPr>
                <w:rFonts w:hAnsi="宋体"/>
                <w:color w:val="auto"/>
              </w:rPr>
              <w:t>。</w:t>
            </w:r>
          </w:p>
          <w:p>
            <w:pPr>
              <w:ind w:left="5" w:leftChars="2" w:right="26" w:rightChars="11" w:firstLine="472" w:firstLineChars="197"/>
              <w:rPr>
                <w:color w:val="auto"/>
              </w:rPr>
            </w:pPr>
            <w:r>
              <w:rPr>
                <w:rFonts w:hint="eastAsia" w:hAnsi="宋体"/>
                <w:color w:val="auto"/>
              </w:rPr>
              <w:t>3.</w:t>
            </w:r>
            <w:r>
              <w:rPr>
                <w:rFonts w:hAnsi="宋体"/>
                <w:color w:val="auto"/>
              </w:rPr>
              <w:t>监测项目</w:t>
            </w:r>
            <w:r>
              <w:rPr>
                <w:rFonts w:hint="eastAsia" w:hAnsi="宋体"/>
                <w:color w:val="auto"/>
              </w:rPr>
              <w:t>:</w:t>
            </w:r>
            <w:r>
              <w:rPr>
                <w:rFonts w:hAnsi="宋体"/>
                <w:color w:val="auto"/>
              </w:rPr>
              <w:t>等效</w:t>
            </w:r>
            <w:r>
              <w:rPr>
                <w:rFonts w:ascii="宋体" w:hAnsi="宋体"/>
                <w:bCs/>
                <w:color w:val="auto"/>
              </w:rPr>
              <w:t>连续</w:t>
            </w:r>
            <w:r>
              <w:rPr>
                <w:color w:val="auto"/>
              </w:rPr>
              <w:t>A</w:t>
            </w:r>
            <w:r>
              <w:rPr>
                <w:rFonts w:hAnsi="宋体"/>
                <w:color w:val="auto"/>
              </w:rPr>
              <w:t>声级（</w:t>
            </w:r>
            <w:r>
              <w:rPr>
                <w:color w:val="auto"/>
              </w:rPr>
              <w:t>Leq</w:t>
            </w:r>
            <w:r>
              <w:rPr>
                <w:rFonts w:hAnsi="宋体"/>
                <w:color w:val="auto"/>
              </w:rPr>
              <w:t>（</w:t>
            </w:r>
            <w:r>
              <w:rPr>
                <w:color w:val="auto"/>
              </w:rPr>
              <w:t>A</w:t>
            </w:r>
            <w:r>
              <w:rPr>
                <w:rFonts w:hAnsi="宋体"/>
                <w:color w:val="auto"/>
              </w:rPr>
              <w:t>））。</w:t>
            </w:r>
          </w:p>
          <w:p>
            <w:pPr>
              <w:ind w:left="5" w:leftChars="2" w:right="26" w:rightChars="11" w:firstLine="472" w:firstLineChars="197"/>
              <w:rPr>
                <w:color w:val="auto"/>
              </w:rPr>
            </w:pPr>
            <w:r>
              <w:rPr>
                <w:rFonts w:hint="eastAsia" w:hAnsi="宋体"/>
                <w:color w:val="auto"/>
              </w:rPr>
              <w:t>4.</w:t>
            </w:r>
            <w:r>
              <w:rPr>
                <w:rFonts w:hAnsi="宋体"/>
                <w:color w:val="auto"/>
              </w:rPr>
              <w:t>评价方法</w:t>
            </w:r>
            <w:r>
              <w:rPr>
                <w:rFonts w:hint="eastAsia" w:hAnsi="宋体"/>
                <w:color w:val="auto"/>
              </w:rPr>
              <w:t>:</w:t>
            </w:r>
            <w:r>
              <w:rPr>
                <w:rFonts w:hAnsi="宋体"/>
                <w:color w:val="auto"/>
              </w:rPr>
              <w:t>将统计整理得到的声环境现状监测结果（</w:t>
            </w:r>
            <w:r>
              <w:rPr>
                <w:color w:val="auto"/>
              </w:rPr>
              <w:t>Leq</w:t>
            </w:r>
            <w:r>
              <w:rPr>
                <w:rFonts w:hAnsi="宋体"/>
                <w:color w:val="auto"/>
              </w:rPr>
              <w:t>（</w:t>
            </w:r>
            <w:r>
              <w:rPr>
                <w:color w:val="auto"/>
              </w:rPr>
              <w:t>A</w:t>
            </w:r>
            <w:r>
              <w:rPr>
                <w:rFonts w:hAnsi="宋体"/>
                <w:color w:val="auto"/>
              </w:rPr>
              <w:t>））与评价标准值直接比较，评定区域内声环境质量现状。</w:t>
            </w:r>
          </w:p>
          <w:p>
            <w:pPr>
              <w:ind w:left="5" w:leftChars="2" w:right="26" w:rightChars="11" w:firstLine="472" w:firstLineChars="197"/>
              <w:rPr>
                <w:b/>
                <w:color w:val="auto"/>
                <w:kern w:val="0"/>
                <w:szCs w:val="21"/>
              </w:rPr>
            </w:pPr>
            <w:r>
              <w:rPr>
                <w:rFonts w:hint="eastAsia" w:hAnsi="宋体"/>
                <w:color w:val="auto"/>
              </w:rPr>
              <w:t>5.</w:t>
            </w:r>
            <w:r>
              <w:rPr>
                <w:rFonts w:hAnsi="宋体"/>
                <w:color w:val="auto"/>
              </w:rPr>
              <w:t>噪声监测结果与</w:t>
            </w:r>
            <w:r>
              <w:rPr>
                <w:color w:val="auto"/>
                <w:kern w:val="0"/>
              </w:rPr>
              <w:t>评价</w:t>
            </w:r>
            <w:r>
              <w:rPr>
                <w:rFonts w:hAnsi="宋体"/>
                <w:color w:val="auto"/>
              </w:rPr>
              <w:t>结果</w:t>
            </w:r>
            <w:r>
              <w:rPr>
                <w:rFonts w:hint="eastAsia" w:hAnsi="宋体"/>
                <w:color w:val="auto"/>
              </w:rPr>
              <w:t>:</w:t>
            </w:r>
            <w:r>
              <w:rPr>
                <w:rFonts w:hAnsi="宋体"/>
                <w:color w:val="auto"/>
              </w:rPr>
              <w:t>监测结果见</w:t>
            </w:r>
            <w:r>
              <w:rPr>
                <w:rFonts w:hint="eastAsia" w:hAnsi="宋体"/>
                <w:color w:val="auto"/>
              </w:rPr>
              <w:t>下</w:t>
            </w:r>
            <w:r>
              <w:rPr>
                <w:rFonts w:hAnsi="宋体"/>
                <w:color w:val="auto"/>
              </w:rPr>
              <w:t>表</w:t>
            </w:r>
            <w:r>
              <w:rPr>
                <w:rFonts w:hint="eastAsia" w:hAnsi="宋体"/>
                <w:color w:val="auto"/>
              </w:rPr>
              <w:t>：</w:t>
            </w:r>
          </w:p>
          <w:p>
            <w:pPr>
              <w:numPr>
                <w:ilvl w:val="0"/>
                <w:numId w:val="7"/>
              </w:numPr>
              <w:spacing w:before="60" w:beforeLines="25"/>
              <w:ind w:left="0" w:firstLine="482"/>
              <w:jc w:val="center"/>
              <w:rPr>
                <w:b/>
                <w:color w:val="auto"/>
              </w:rPr>
            </w:pPr>
            <w:r>
              <w:rPr>
                <w:rFonts w:hint="eastAsia"/>
                <w:b/>
                <w:color w:val="auto"/>
                <w:kern w:val="0"/>
                <w:szCs w:val="21"/>
              </w:rPr>
              <w:t xml:space="preserve">   </w:t>
            </w:r>
            <w:r>
              <w:rPr>
                <w:rFonts w:hint="eastAsia"/>
                <w:b/>
                <w:color w:val="auto"/>
                <w:kern w:val="0"/>
              </w:rPr>
              <w:t xml:space="preserve">  </w:t>
            </w:r>
            <w:r>
              <w:rPr>
                <w:rFonts w:hAnsi="宋体"/>
                <w:b/>
                <w:color w:val="auto"/>
                <w:kern w:val="0"/>
              </w:rPr>
              <w:t>声环境监测结果及评价结果</w:t>
            </w:r>
            <w:r>
              <w:rPr>
                <w:rFonts w:hint="eastAsia"/>
                <w:b/>
                <w:color w:val="auto"/>
                <w:kern w:val="0"/>
              </w:rPr>
              <w:t xml:space="preserve">  </w:t>
            </w:r>
            <w:r>
              <w:rPr>
                <w:rFonts w:hint="eastAsia" w:hAnsi="宋体"/>
                <w:b/>
                <w:color w:val="auto"/>
              </w:rPr>
              <w:t>单位：</w:t>
            </w:r>
            <w:r>
              <w:rPr>
                <w:b/>
                <w:color w:val="auto"/>
              </w:rPr>
              <w:t>dB（A）</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6"/>
              <w:gridCol w:w="963"/>
              <w:gridCol w:w="937"/>
              <w:gridCol w:w="1072"/>
              <w:gridCol w:w="942"/>
              <w:gridCol w:w="1072"/>
              <w:gridCol w:w="1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77" w:type="pct"/>
                  <w:vMerge w:val="restart"/>
                  <w:vAlign w:val="center"/>
                </w:tcPr>
                <w:p>
                  <w:pPr>
                    <w:pStyle w:val="54"/>
                    <w:widowControl/>
                    <w:rPr>
                      <w:rFonts w:eastAsia="Times New Roman"/>
                      <w:color w:val="auto"/>
                    </w:rPr>
                  </w:pPr>
                  <w:r>
                    <w:rPr>
                      <w:rFonts w:hint="eastAsia" w:eastAsia="Times New Roman"/>
                      <w:color w:val="auto"/>
                    </w:rPr>
                    <w:t>检测点位</w:t>
                  </w:r>
                </w:p>
              </w:tc>
              <w:tc>
                <w:tcPr>
                  <w:tcW w:w="2494" w:type="pct"/>
                  <w:gridSpan w:val="4"/>
                  <w:vAlign w:val="center"/>
                </w:tcPr>
                <w:p>
                  <w:pPr>
                    <w:pStyle w:val="54"/>
                    <w:widowControl/>
                    <w:rPr>
                      <w:rFonts w:eastAsia="Times New Roman"/>
                      <w:color w:val="auto"/>
                    </w:rPr>
                  </w:pPr>
                  <w:r>
                    <w:rPr>
                      <w:rFonts w:eastAsia="Times New Roman"/>
                      <w:color w:val="auto"/>
                    </w:rPr>
                    <w:t>检测结果Leq[dB（A）]</w:t>
                  </w:r>
                </w:p>
              </w:tc>
              <w:tc>
                <w:tcPr>
                  <w:tcW w:w="683" w:type="pct"/>
                  <w:vMerge w:val="restart"/>
                  <w:vAlign w:val="center"/>
                </w:tcPr>
                <w:p>
                  <w:pPr>
                    <w:pStyle w:val="54"/>
                    <w:widowControl/>
                    <w:rPr>
                      <w:rFonts w:eastAsia="Times New Roman"/>
                      <w:color w:val="auto"/>
                    </w:rPr>
                  </w:pPr>
                  <w:r>
                    <w:rPr>
                      <w:rFonts w:eastAsia="Times New Roman"/>
                      <w:color w:val="auto"/>
                    </w:rPr>
                    <w:t>标准限值</w:t>
                  </w:r>
                </w:p>
              </w:tc>
              <w:tc>
                <w:tcPr>
                  <w:tcW w:w="645" w:type="pct"/>
                  <w:vMerge w:val="restart"/>
                  <w:vAlign w:val="center"/>
                </w:tcPr>
                <w:p>
                  <w:pPr>
                    <w:pStyle w:val="54"/>
                    <w:widowControl/>
                    <w:rPr>
                      <w:rFonts w:eastAsia="Times New Roman"/>
                      <w:color w:val="auto"/>
                    </w:rPr>
                  </w:pPr>
                  <w:r>
                    <w:rPr>
                      <w:rFonts w:eastAsia="Times New Roman"/>
                      <w:color w:val="auto"/>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77" w:type="pct"/>
                  <w:vMerge w:val="continue"/>
                  <w:vAlign w:val="center"/>
                </w:tcPr>
                <w:p>
                  <w:pPr>
                    <w:pStyle w:val="54"/>
                    <w:widowControl/>
                    <w:rPr>
                      <w:rFonts w:eastAsia="Times New Roman"/>
                      <w:color w:val="auto"/>
                    </w:rPr>
                  </w:pPr>
                </w:p>
              </w:tc>
              <w:tc>
                <w:tcPr>
                  <w:tcW w:w="1211" w:type="pct"/>
                  <w:gridSpan w:val="2"/>
                  <w:vAlign w:val="center"/>
                </w:tcPr>
                <w:p>
                  <w:pPr>
                    <w:pStyle w:val="54"/>
                    <w:widowControl/>
                    <w:rPr>
                      <w:color w:val="auto"/>
                    </w:rPr>
                  </w:pPr>
                  <w:r>
                    <w:rPr>
                      <w:rFonts w:hint="eastAsia" w:eastAsia="Times New Roman"/>
                      <w:color w:val="auto"/>
                    </w:rPr>
                    <w:t>202</w:t>
                  </w:r>
                  <w:r>
                    <w:rPr>
                      <w:rFonts w:hint="eastAsia"/>
                      <w:color w:val="auto"/>
                    </w:rPr>
                    <w:t>5</w:t>
                  </w:r>
                  <w:r>
                    <w:rPr>
                      <w:rFonts w:hint="eastAsia" w:eastAsia="Times New Roman"/>
                      <w:color w:val="auto"/>
                    </w:rPr>
                    <w:t>.</w:t>
                  </w:r>
                  <w:r>
                    <w:rPr>
                      <w:rFonts w:hint="eastAsia"/>
                      <w:color w:val="auto"/>
                    </w:rPr>
                    <w:t>4</w:t>
                  </w:r>
                  <w:r>
                    <w:rPr>
                      <w:rFonts w:hint="eastAsia" w:eastAsia="Times New Roman"/>
                      <w:color w:val="auto"/>
                    </w:rPr>
                    <w:t>.</w:t>
                  </w:r>
                  <w:r>
                    <w:rPr>
                      <w:rFonts w:hint="eastAsia"/>
                      <w:color w:val="auto"/>
                    </w:rPr>
                    <w:t>28</w:t>
                  </w:r>
                </w:p>
              </w:tc>
              <w:tc>
                <w:tcPr>
                  <w:tcW w:w="1282" w:type="pct"/>
                  <w:gridSpan w:val="2"/>
                  <w:vAlign w:val="center"/>
                </w:tcPr>
                <w:p>
                  <w:pPr>
                    <w:pStyle w:val="54"/>
                    <w:widowControl/>
                    <w:rPr>
                      <w:color w:val="auto"/>
                    </w:rPr>
                  </w:pPr>
                  <w:r>
                    <w:rPr>
                      <w:rFonts w:hint="eastAsia" w:eastAsia="Times New Roman"/>
                      <w:color w:val="auto"/>
                    </w:rPr>
                    <w:t>202</w:t>
                  </w:r>
                  <w:r>
                    <w:rPr>
                      <w:rFonts w:hint="eastAsia"/>
                      <w:color w:val="auto"/>
                    </w:rPr>
                    <w:t>5</w:t>
                  </w:r>
                  <w:r>
                    <w:rPr>
                      <w:rFonts w:hint="eastAsia" w:eastAsia="Times New Roman"/>
                      <w:color w:val="auto"/>
                    </w:rPr>
                    <w:t>.</w:t>
                  </w:r>
                  <w:r>
                    <w:rPr>
                      <w:rFonts w:hint="eastAsia"/>
                      <w:color w:val="auto"/>
                    </w:rPr>
                    <w:t>42</w:t>
                  </w:r>
                  <w:r>
                    <w:rPr>
                      <w:rFonts w:hint="eastAsia" w:eastAsia="Times New Roman"/>
                      <w:color w:val="auto"/>
                    </w:rPr>
                    <w:t>.</w:t>
                  </w:r>
                  <w:r>
                    <w:rPr>
                      <w:rFonts w:hint="eastAsia"/>
                      <w:color w:val="auto"/>
                    </w:rPr>
                    <w:t>9</w:t>
                  </w:r>
                </w:p>
              </w:tc>
              <w:tc>
                <w:tcPr>
                  <w:tcW w:w="683" w:type="pct"/>
                  <w:vMerge w:val="continue"/>
                  <w:vAlign w:val="center"/>
                </w:tcPr>
                <w:p>
                  <w:pPr>
                    <w:pStyle w:val="54"/>
                    <w:widowControl/>
                    <w:rPr>
                      <w:rFonts w:eastAsia="Times New Roman"/>
                      <w:color w:val="auto"/>
                    </w:rPr>
                  </w:pPr>
                </w:p>
              </w:tc>
              <w:tc>
                <w:tcPr>
                  <w:tcW w:w="645" w:type="pct"/>
                  <w:vMerge w:val="continue"/>
                  <w:vAlign w:val="center"/>
                </w:tcPr>
                <w:p>
                  <w:pPr>
                    <w:pStyle w:val="54"/>
                    <w:widowControl/>
                    <w:rPr>
                      <w:rFonts w:eastAsia="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77" w:type="pct"/>
                  <w:vMerge w:val="continue"/>
                  <w:vAlign w:val="center"/>
                </w:tcPr>
                <w:p>
                  <w:pPr>
                    <w:pStyle w:val="54"/>
                    <w:widowControl/>
                    <w:rPr>
                      <w:rFonts w:eastAsia="Times New Roman"/>
                      <w:color w:val="auto"/>
                    </w:rPr>
                  </w:pPr>
                </w:p>
              </w:tc>
              <w:tc>
                <w:tcPr>
                  <w:tcW w:w="614" w:type="pct"/>
                  <w:vAlign w:val="center"/>
                </w:tcPr>
                <w:p>
                  <w:pPr>
                    <w:pStyle w:val="54"/>
                    <w:widowControl/>
                    <w:rPr>
                      <w:rFonts w:eastAsia="Times New Roman"/>
                      <w:color w:val="auto"/>
                    </w:rPr>
                  </w:pPr>
                  <w:r>
                    <w:rPr>
                      <w:rFonts w:hint="eastAsia" w:eastAsia="Times New Roman"/>
                      <w:color w:val="auto"/>
                    </w:rPr>
                    <w:t>昼间</w:t>
                  </w:r>
                </w:p>
              </w:tc>
              <w:tc>
                <w:tcPr>
                  <w:tcW w:w="597" w:type="pct"/>
                  <w:vAlign w:val="center"/>
                </w:tcPr>
                <w:p>
                  <w:pPr>
                    <w:pStyle w:val="54"/>
                    <w:widowControl/>
                    <w:rPr>
                      <w:rFonts w:eastAsia="Times New Roman"/>
                      <w:color w:val="auto"/>
                    </w:rPr>
                  </w:pPr>
                  <w:r>
                    <w:rPr>
                      <w:rFonts w:hint="eastAsia" w:eastAsia="Times New Roman"/>
                      <w:color w:val="auto"/>
                    </w:rPr>
                    <w:t>夜间</w:t>
                  </w:r>
                </w:p>
              </w:tc>
              <w:tc>
                <w:tcPr>
                  <w:tcW w:w="683" w:type="pct"/>
                  <w:vAlign w:val="center"/>
                </w:tcPr>
                <w:p>
                  <w:pPr>
                    <w:pStyle w:val="54"/>
                    <w:widowControl/>
                    <w:rPr>
                      <w:rFonts w:eastAsia="Times New Roman"/>
                      <w:color w:val="auto"/>
                    </w:rPr>
                  </w:pPr>
                  <w:r>
                    <w:rPr>
                      <w:rFonts w:hint="eastAsia" w:eastAsia="Times New Roman"/>
                      <w:color w:val="auto"/>
                    </w:rPr>
                    <w:t>昼间</w:t>
                  </w:r>
                </w:p>
              </w:tc>
              <w:tc>
                <w:tcPr>
                  <w:tcW w:w="599" w:type="pct"/>
                  <w:vAlign w:val="center"/>
                </w:tcPr>
                <w:p>
                  <w:pPr>
                    <w:pStyle w:val="54"/>
                    <w:widowControl/>
                    <w:rPr>
                      <w:rFonts w:eastAsia="Times New Roman"/>
                      <w:color w:val="auto"/>
                    </w:rPr>
                  </w:pPr>
                  <w:r>
                    <w:rPr>
                      <w:rFonts w:hint="eastAsia" w:eastAsia="Times New Roman"/>
                      <w:color w:val="auto"/>
                    </w:rPr>
                    <w:t>夜间</w:t>
                  </w:r>
                </w:p>
              </w:tc>
              <w:tc>
                <w:tcPr>
                  <w:tcW w:w="683" w:type="pct"/>
                  <w:vMerge w:val="restart"/>
                  <w:vAlign w:val="center"/>
                </w:tcPr>
                <w:p>
                  <w:pPr>
                    <w:pStyle w:val="54"/>
                    <w:widowControl/>
                    <w:rPr>
                      <w:rFonts w:eastAsia="Times New Roman"/>
                      <w:color w:val="auto"/>
                    </w:rPr>
                  </w:pPr>
                  <w:r>
                    <w:rPr>
                      <w:rFonts w:hint="eastAsia" w:eastAsia="Times New Roman"/>
                      <w:color w:val="auto"/>
                    </w:rPr>
                    <w:t>昼间：</w:t>
                  </w:r>
                  <w:r>
                    <w:rPr>
                      <w:rFonts w:eastAsia="Times New Roman"/>
                      <w:color w:val="auto"/>
                    </w:rPr>
                    <w:t>6</w:t>
                  </w:r>
                  <w:r>
                    <w:rPr>
                      <w:rFonts w:hint="eastAsia" w:eastAsia="Times New Roman"/>
                      <w:color w:val="auto"/>
                    </w:rPr>
                    <w:t>5</w:t>
                  </w:r>
                  <w:r>
                    <w:rPr>
                      <w:rFonts w:eastAsia="Times New Roman"/>
                      <w:color w:val="auto"/>
                    </w:rPr>
                    <w:t>dB(A)</w:t>
                  </w:r>
                </w:p>
                <w:p>
                  <w:pPr>
                    <w:pStyle w:val="54"/>
                    <w:widowControl/>
                    <w:rPr>
                      <w:rFonts w:eastAsia="Times New Roman"/>
                      <w:color w:val="auto"/>
                    </w:rPr>
                  </w:pPr>
                  <w:r>
                    <w:rPr>
                      <w:rFonts w:hint="eastAsia" w:eastAsia="Times New Roman"/>
                      <w:color w:val="auto"/>
                    </w:rPr>
                    <w:t>夜间：55dB(A)</w:t>
                  </w:r>
                </w:p>
              </w:tc>
              <w:tc>
                <w:tcPr>
                  <w:tcW w:w="645" w:type="pct"/>
                  <w:vAlign w:val="center"/>
                </w:tcPr>
                <w:p>
                  <w:pPr>
                    <w:pStyle w:val="54"/>
                    <w:widowControl/>
                    <w:rPr>
                      <w:rFonts w:eastAsia="Times New Roman"/>
                      <w:color w:val="auto"/>
                    </w:rPr>
                  </w:pPr>
                  <w:r>
                    <w:rPr>
                      <w:rFonts w:hint="eastAsia" w:eastAsia="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77" w:type="pct"/>
                  <w:vAlign w:val="center"/>
                </w:tcPr>
                <w:p>
                  <w:pPr>
                    <w:spacing w:line="0" w:lineRule="atLeast"/>
                    <w:ind w:firstLine="0" w:firstLineChars="0"/>
                    <w:jc w:val="center"/>
                    <w:rPr>
                      <w:rFonts w:eastAsia="Times New Roman"/>
                      <w:color w:val="auto"/>
                    </w:rPr>
                  </w:pPr>
                  <w:r>
                    <w:rPr>
                      <w:color w:val="auto"/>
                      <w:sz w:val="21"/>
                      <w:szCs w:val="21"/>
                    </w:rPr>
                    <w:t>1#厂界东</w:t>
                  </w:r>
                  <w:r>
                    <w:rPr>
                      <w:rFonts w:hint="eastAsia"/>
                      <w:color w:val="auto"/>
                      <w:sz w:val="21"/>
                      <w:szCs w:val="21"/>
                    </w:rPr>
                    <w:t>侧</w:t>
                  </w:r>
                </w:p>
              </w:tc>
              <w:tc>
                <w:tcPr>
                  <w:tcW w:w="614" w:type="pct"/>
                  <w:vAlign w:val="center"/>
                </w:tcPr>
                <w:p>
                  <w:pPr>
                    <w:spacing w:line="0" w:lineRule="atLeast"/>
                    <w:ind w:firstLine="0" w:firstLineChars="0"/>
                    <w:jc w:val="center"/>
                    <w:rPr>
                      <w:color w:val="auto"/>
                    </w:rPr>
                  </w:pPr>
                  <w:r>
                    <w:rPr>
                      <w:rFonts w:hint="eastAsia"/>
                      <w:color w:val="auto"/>
                      <w:sz w:val="21"/>
                      <w:szCs w:val="21"/>
                    </w:rPr>
                    <w:t>42</w:t>
                  </w:r>
                </w:p>
              </w:tc>
              <w:tc>
                <w:tcPr>
                  <w:tcW w:w="597" w:type="pct"/>
                  <w:vAlign w:val="center"/>
                </w:tcPr>
                <w:p>
                  <w:pPr>
                    <w:spacing w:line="0" w:lineRule="atLeast"/>
                    <w:ind w:firstLine="0" w:firstLineChars="0"/>
                    <w:jc w:val="center"/>
                    <w:rPr>
                      <w:color w:val="auto"/>
                    </w:rPr>
                  </w:pPr>
                  <w:r>
                    <w:rPr>
                      <w:rFonts w:hint="eastAsia"/>
                      <w:color w:val="auto"/>
                      <w:sz w:val="21"/>
                      <w:szCs w:val="21"/>
                    </w:rPr>
                    <w:t>33</w:t>
                  </w:r>
                </w:p>
              </w:tc>
              <w:tc>
                <w:tcPr>
                  <w:tcW w:w="683" w:type="pct"/>
                  <w:vAlign w:val="center"/>
                </w:tcPr>
                <w:p>
                  <w:pPr>
                    <w:spacing w:line="0" w:lineRule="atLeast"/>
                    <w:ind w:firstLine="0" w:firstLineChars="0"/>
                    <w:jc w:val="center"/>
                    <w:rPr>
                      <w:color w:val="auto"/>
                    </w:rPr>
                  </w:pPr>
                  <w:r>
                    <w:rPr>
                      <w:rFonts w:hint="eastAsia"/>
                      <w:color w:val="auto"/>
                      <w:sz w:val="21"/>
                      <w:szCs w:val="21"/>
                    </w:rPr>
                    <w:t>43</w:t>
                  </w:r>
                </w:p>
              </w:tc>
              <w:tc>
                <w:tcPr>
                  <w:tcW w:w="599" w:type="pct"/>
                  <w:vAlign w:val="center"/>
                </w:tcPr>
                <w:p>
                  <w:pPr>
                    <w:spacing w:line="0" w:lineRule="atLeast"/>
                    <w:ind w:firstLine="0" w:firstLineChars="0"/>
                    <w:jc w:val="center"/>
                    <w:rPr>
                      <w:color w:val="auto"/>
                    </w:rPr>
                  </w:pPr>
                  <w:r>
                    <w:rPr>
                      <w:rFonts w:hint="eastAsia"/>
                      <w:color w:val="auto"/>
                      <w:sz w:val="21"/>
                      <w:szCs w:val="21"/>
                    </w:rPr>
                    <w:t>40</w:t>
                  </w:r>
                </w:p>
              </w:tc>
              <w:tc>
                <w:tcPr>
                  <w:tcW w:w="683" w:type="pct"/>
                  <w:vMerge w:val="continue"/>
                  <w:vAlign w:val="center"/>
                </w:tcPr>
                <w:p>
                  <w:pPr>
                    <w:pStyle w:val="54"/>
                    <w:widowControl/>
                    <w:rPr>
                      <w:rFonts w:eastAsia="Times New Roman"/>
                      <w:color w:val="auto"/>
                    </w:rPr>
                  </w:pPr>
                </w:p>
              </w:tc>
              <w:tc>
                <w:tcPr>
                  <w:tcW w:w="645" w:type="pct"/>
                  <w:vAlign w:val="center"/>
                </w:tcPr>
                <w:p>
                  <w:pPr>
                    <w:pStyle w:val="54"/>
                    <w:widowControl/>
                    <w:rPr>
                      <w:rFonts w:eastAsia="Times New Roman"/>
                      <w:color w:val="auto"/>
                    </w:rPr>
                  </w:pPr>
                  <w:r>
                    <w:rPr>
                      <w:rFonts w:hint="eastAsia" w:eastAsia="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77" w:type="pct"/>
                  <w:vAlign w:val="center"/>
                </w:tcPr>
                <w:p>
                  <w:pPr>
                    <w:spacing w:line="0" w:lineRule="atLeast"/>
                    <w:ind w:firstLine="0" w:firstLineChars="0"/>
                    <w:jc w:val="center"/>
                    <w:rPr>
                      <w:rFonts w:eastAsia="Times New Roman"/>
                      <w:color w:val="auto"/>
                    </w:rPr>
                  </w:pPr>
                  <w:r>
                    <w:rPr>
                      <w:color w:val="auto"/>
                      <w:sz w:val="21"/>
                      <w:szCs w:val="21"/>
                    </w:rPr>
                    <w:t>2#厂界南</w:t>
                  </w:r>
                  <w:r>
                    <w:rPr>
                      <w:rFonts w:hint="eastAsia"/>
                      <w:color w:val="auto"/>
                      <w:sz w:val="21"/>
                      <w:szCs w:val="21"/>
                    </w:rPr>
                    <w:t>侧</w:t>
                  </w:r>
                </w:p>
              </w:tc>
              <w:tc>
                <w:tcPr>
                  <w:tcW w:w="614" w:type="pct"/>
                  <w:vAlign w:val="center"/>
                </w:tcPr>
                <w:p>
                  <w:pPr>
                    <w:spacing w:line="0" w:lineRule="atLeast"/>
                    <w:ind w:firstLine="0" w:firstLineChars="0"/>
                    <w:jc w:val="center"/>
                    <w:rPr>
                      <w:color w:val="auto"/>
                    </w:rPr>
                  </w:pPr>
                  <w:r>
                    <w:rPr>
                      <w:rFonts w:hint="eastAsia"/>
                      <w:color w:val="auto"/>
                      <w:sz w:val="21"/>
                      <w:szCs w:val="21"/>
                    </w:rPr>
                    <w:t>44</w:t>
                  </w:r>
                </w:p>
              </w:tc>
              <w:tc>
                <w:tcPr>
                  <w:tcW w:w="597" w:type="pct"/>
                  <w:vAlign w:val="center"/>
                </w:tcPr>
                <w:p>
                  <w:pPr>
                    <w:spacing w:line="0" w:lineRule="atLeast"/>
                    <w:ind w:firstLine="0" w:firstLineChars="0"/>
                    <w:jc w:val="center"/>
                    <w:rPr>
                      <w:color w:val="auto"/>
                    </w:rPr>
                  </w:pPr>
                  <w:r>
                    <w:rPr>
                      <w:rFonts w:hint="eastAsia"/>
                      <w:color w:val="auto"/>
                      <w:sz w:val="21"/>
                      <w:szCs w:val="21"/>
                    </w:rPr>
                    <w:t>33</w:t>
                  </w:r>
                </w:p>
              </w:tc>
              <w:tc>
                <w:tcPr>
                  <w:tcW w:w="683" w:type="pct"/>
                  <w:shd w:val="clear" w:color="auto" w:fill="auto"/>
                  <w:vAlign w:val="center"/>
                </w:tcPr>
                <w:p>
                  <w:pPr>
                    <w:spacing w:line="0" w:lineRule="atLeast"/>
                    <w:ind w:firstLine="0" w:firstLineChars="0"/>
                    <w:jc w:val="center"/>
                    <w:rPr>
                      <w:color w:val="auto"/>
                    </w:rPr>
                  </w:pPr>
                  <w:r>
                    <w:rPr>
                      <w:rFonts w:hint="eastAsia"/>
                      <w:color w:val="auto"/>
                      <w:sz w:val="21"/>
                      <w:szCs w:val="21"/>
                    </w:rPr>
                    <w:t>43</w:t>
                  </w:r>
                </w:p>
              </w:tc>
              <w:tc>
                <w:tcPr>
                  <w:tcW w:w="599" w:type="pct"/>
                  <w:shd w:val="clear" w:color="auto" w:fill="auto"/>
                  <w:vAlign w:val="center"/>
                </w:tcPr>
                <w:p>
                  <w:pPr>
                    <w:spacing w:line="0" w:lineRule="atLeast"/>
                    <w:ind w:firstLine="0" w:firstLineChars="0"/>
                    <w:jc w:val="center"/>
                    <w:rPr>
                      <w:color w:val="auto"/>
                    </w:rPr>
                  </w:pPr>
                  <w:r>
                    <w:rPr>
                      <w:rFonts w:hint="eastAsia"/>
                      <w:color w:val="auto"/>
                      <w:sz w:val="21"/>
                      <w:szCs w:val="21"/>
                    </w:rPr>
                    <w:t>40</w:t>
                  </w:r>
                </w:p>
              </w:tc>
              <w:tc>
                <w:tcPr>
                  <w:tcW w:w="683" w:type="pct"/>
                  <w:vMerge w:val="continue"/>
                  <w:vAlign w:val="center"/>
                </w:tcPr>
                <w:p>
                  <w:pPr>
                    <w:pStyle w:val="54"/>
                    <w:widowControl/>
                    <w:rPr>
                      <w:rFonts w:eastAsia="Times New Roman"/>
                      <w:color w:val="auto"/>
                    </w:rPr>
                  </w:pPr>
                </w:p>
              </w:tc>
              <w:tc>
                <w:tcPr>
                  <w:tcW w:w="645" w:type="pct"/>
                  <w:vAlign w:val="center"/>
                </w:tcPr>
                <w:p>
                  <w:pPr>
                    <w:pStyle w:val="54"/>
                    <w:widowControl/>
                    <w:rPr>
                      <w:rFonts w:eastAsia="Times New Roman"/>
                      <w:color w:val="auto"/>
                    </w:rPr>
                  </w:pPr>
                  <w:r>
                    <w:rPr>
                      <w:rFonts w:hint="eastAsia" w:eastAsia="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77" w:type="pct"/>
                  <w:vAlign w:val="center"/>
                </w:tcPr>
                <w:p>
                  <w:pPr>
                    <w:spacing w:line="0" w:lineRule="atLeast"/>
                    <w:ind w:firstLine="0" w:firstLineChars="0"/>
                    <w:jc w:val="center"/>
                    <w:rPr>
                      <w:rFonts w:eastAsia="Times New Roman"/>
                      <w:color w:val="auto"/>
                    </w:rPr>
                  </w:pPr>
                  <w:r>
                    <w:rPr>
                      <w:color w:val="auto"/>
                      <w:sz w:val="21"/>
                      <w:szCs w:val="21"/>
                    </w:rPr>
                    <w:t>3#厂界西</w:t>
                  </w:r>
                  <w:r>
                    <w:rPr>
                      <w:rFonts w:hint="eastAsia"/>
                      <w:color w:val="auto"/>
                      <w:sz w:val="21"/>
                      <w:szCs w:val="21"/>
                    </w:rPr>
                    <w:t>侧</w:t>
                  </w:r>
                </w:p>
              </w:tc>
              <w:tc>
                <w:tcPr>
                  <w:tcW w:w="614" w:type="pct"/>
                  <w:vAlign w:val="center"/>
                </w:tcPr>
                <w:p>
                  <w:pPr>
                    <w:spacing w:line="0" w:lineRule="atLeast"/>
                    <w:ind w:firstLine="0" w:firstLineChars="0"/>
                    <w:jc w:val="center"/>
                    <w:rPr>
                      <w:color w:val="auto"/>
                    </w:rPr>
                  </w:pPr>
                  <w:r>
                    <w:rPr>
                      <w:rFonts w:hint="eastAsia"/>
                      <w:color w:val="auto"/>
                      <w:sz w:val="21"/>
                      <w:szCs w:val="21"/>
                    </w:rPr>
                    <w:t>44</w:t>
                  </w:r>
                </w:p>
              </w:tc>
              <w:tc>
                <w:tcPr>
                  <w:tcW w:w="597" w:type="pct"/>
                  <w:vAlign w:val="center"/>
                </w:tcPr>
                <w:p>
                  <w:pPr>
                    <w:spacing w:line="0" w:lineRule="atLeast"/>
                    <w:ind w:firstLine="0" w:firstLineChars="0"/>
                    <w:jc w:val="center"/>
                    <w:rPr>
                      <w:color w:val="auto"/>
                    </w:rPr>
                  </w:pPr>
                  <w:r>
                    <w:rPr>
                      <w:rFonts w:hint="eastAsia"/>
                      <w:color w:val="auto"/>
                      <w:sz w:val="21"/>
                      <w:szCs w:val="21"/>
                    </w:rPr>
                    <w:t>34</w:t>
                  </w:r>
                </w:p>
              </w:tc>
              <w:tc>
                <w:tcPr>
                  <w:tcW w:w="683" w:type="pct"/>
                  <w:vAlign w:val="center"/>
                </w:tcPr>
                <w:p>
                  <w:pPr>
                    <w:spacing w:line="0" w:lineRule="atLeast"/>
                    <w:ind w:firstLine="0" w:firstLineChars="0"/>
                    <w:jc w:val="center"/>
                    <w:rPr>
                      <w:color w:val="auto"/>
                    </w:rPr>
                  </w:pPr>
                  <w:r>
                    <w:rPr>
                      <w:rFonts w:hint="eastAsia"/>
                      <w:color w:val="auto"/>
                      <w:sz w:val="21"/>
                      <w:szCs w:val="21"/>
                    </w:rPr>
                    <w:t>41</w:t>
                  </w:r>
                </w:p>
              </w:tc>
              <w:tc>
                <w:tcPr>
                  <w:tcW w:w="599" w:type="pct"/>
                  <w:vAlign w:val="center"/>
                </w:tcPr>
                <w:p>
                  <w:pPr>
                    <w:spacing w:line="0" w:lineRule="atLeast"/>
                    <w:ind w:firstLine="0" w:firstLineChars="0"/>
                    <w:jc w:val="center"/>
                    <w:rPr>
                      <w:color w:val="auto"/>
                    </w:rPr>
                  </w:pPr>
                  <w:r>
                    <w:rPr>
                      <w:rFonts w:hint="eastAsia"/>
                      <w:color w:val="auto"/>
                      <w:sz w:val="21"/>
                      <w:szCs w:val="21"/>
                    </w:rPr>
                    <w:t>37</w:t>
                  </w:r>
                </w:p>
              </w:tc>
              <w:tc>
                <w:tcPr>
                  <w:tcW w:w="683" w:type="pct"/>
                  <w:vMerge w:val="continue"/>
                  <w:vAlign w:val="center"/>
                </w:tcPr>
                <w:p>
                  <w:pPr>
                    <w:pStyle w:val="54"/>
                    <w:widowControl/>
                    <w:rPr>
                      <w:rFonts w:eastAsia="Times New Roman"/>
                      <w:color w:val="auto"/>
                    </w:rPr>
                  </w:pPr>
                </w:p>
              </w:tc>
              <w:tc>
                <w:tcPr>
                  <w:tcW w:w="645" w:type="pct"/>
                  <w:vAlign w:val="center"/>
                </w:tcPr>
                <w:p>
                  <w:pPr>
                    <w:pStyle w:val="54"/>
                    <w:widowControl/>
                    <w:rPr>
                      <w:rFonts w:eastAsia="Times New Roman"/>
                      <w:color w:val="auto"/>
                    </w:rPr>
                  </w:pPr>
                  <w:r>
                    <w:rPr>
                      <w:rFonts w:hint="eastAsia" w:eastAsia="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77" w:type="pct"/>
                  <w:vAlign w:val="center"/>
                </w:tcPr>
                <w:p>
                  <w:pPr>
                    <w:spacing w:line="0" w:lineRule="atLeast"/>
                    <w:ind w:firstLine="0" w:firstLineChars="0"/>
                    <w:jc w:val="center"/>
                    <w:rPr>
                      <w:rFonts w:eastAsia="Times New Roman"/>
                      <w:color w:val="auto"/>
                    </w:rPr>
                  </w:pPr>
                  <w:r>
                    <w:rPr>
                      <w:color w:val="auto"/>
                      <w:sz w:val="21"/>
                      <w:szCs w:val="21"/>
                    </w:rPr>
                    <w:t>4#厂界北</w:t>
                  </w:r>
                  <w:r>
                    <w:rPr>
                      <w:rFonts w:hint="eastAsia"/>
                      <w:color w:val="auto"/>
                      <w:sz w:val="21"/>
                      <w:szCs w:val="21"/>
                    </w:rPr>
                    <w:t>侧</w:t>
                  </w:r>
                </w:p>
              </w:tc>
              <w:tc>
                <w:tcPr>
                  <w:tcW w:w="614" w:type="pct"/>
                  <w:vAlign w:val="center"/>
                </w:tcPr>
                <w:p>
                  <w:pPr>
                    <w:spacing w:line="0" w:lineRule="atLeast"/>
                    <w:ind w:firstLine="0" w:firstLineChars="0"/>
                    <w:jc w:val="center"/>
                    <w:rPr>
                      <w:color w:val="auto"/>
                    </w:rPr>
                  </w:pPr>
                  <w:r>
                    <w:rPr>
                      <w:rFonts w:hint="eastAsia"/>
                      <w:color w:val="auto"/>
                      <w:sz w:val="21"/>
                      <w:szCs w:val="21"/>
                    </w:rPr>
                    <w:t>46</w:t>
                  </w:r>
                </w:p>
              </w:tc>
              <w:tc>
                <w:tcPr>
                  <w:tcW w:w="597" w:type="pct"/>
                  <w:vAlign w:val="center"/>
                </w:tcPr>
                <w:p>
                  <w:pPr>
                    <w:spacing w:line="0" w:lineRule="atLeast"/>
                    <w:ind w:firstLine="0" w:firstLineChars="0"/>
                    <w:jc w:val="center"/>
                    <w:rPr>
                      <w:color w:val="auto"/>
                    </w:rPr>
                  </w:pPr>
                  <w:r>
                    <w:rPr>
                      <w:rFonts w:hint="eastAsia"/>
                      <w:color w:val="auto"/>
                      <w:sz w:val="21"/>
                      <w:szCs w:val="21"/>
                    </w:rPr>
                    <w:t>32</w:t>
                  </w:r>
                </w:p>
              </w:tc>
              <w:tc>
                <w:tcPr>
                  <w:tcW w:w="683" w:type="pct"/>
                  <w:vAlign w:val="center"/>
                </w:tcPr>
                <w:p>
                  <w:pPr>
                    <w:spacing w:line="0" w:lineRule="atLeast"/>
                    <w:ind w:firstLine="0" w:firstLineChars="0"/>
                    <w:jc w:val="center"/>
                    <w:rPr>
                      <w:color w:val="auto"/>
                    </w:rPr>
                  </w:pPr>
                  <w:r>
                    <w:rPr>
                      <w:rFonts w:hint="eastAsia"/>
                      <w:color w:val="auto"/>
                      <w:sz w:val="21"/>
                      <w:szCs w:val="21"/>
                    </w:rPr>
                    <w:t>52</w:t>
                  </w:r>
                </w:p>
              </w:tc>
              <w:tc>
                <w:tcPr>
                  <w:tcW w:w="599" w:type="pct"/>
                  <w:vAlign w:val="center"/>
                </w:tcPr>
                <w:p>
                  <w:pPr>
                    <w:spacing w:line="0" w:lineRule="atLeast"/>
                    <w:ind w:firstLine="0" w:firstLineChars="0"/>
                    <w:jc w:val="center"/>
                    <w:rPr>
                      <w:color w:val="auto"/>
                    </w:rPr>
                  </w:pPr>
                  <w:r>
                    <w:rPr>
                      <w:rFonts w:hint="eastAsia"/>
                      <w:color w:val="auto"/>
                      <w:sz w:val="21"/>
                      <w:szCs w:val="21"/>
                    </w:rPr>
                    <w:t>36</w:t>
                  </w:r>
                </w:p>
              </w:tc>
              <w:tc>
                <w:tcPr>
                  <w:tcW w:w="683" w:type="pct"/>
                  <w:vMerge w:val="continue"/>
                  <w:vAlign w:val="center"/>
                </w:tcPr>
                <w:p>
                  <w:pPr>
                    <w:pStyle w:val="54"/>
                    <w:widowControl/>
                    <w:rPr>
                      <w:rFonts w:eastAsia="Times New Roman"/>
                      <w:color w:val="auto"/>
                    </w:rPr>
                  </w:pPr>
                </w:p>
              </w:tc>
              <w:tc>
                <w:tcPr>
                  <w:tcW w:w="645" w:type="pct"/>
                  <w:vAlign w:val="center"/>
                </w:tcPr>
                <w:p>
                  <w:pPr>
                    <w:pStyle w:val="54"/>
                    <w:widowControl/>
                    <w:rPr>
                      <w:rFonts w:eastAsia="Times New Roman"/>
                      <w:color w:val="auto"/>
                    </w:rPr>
                  </w:pPr>
                  <w:r>
                    <w:rPr>
                      <w:rFonts w:hint="eastAsia" w:eastAsia="Times New Roman"/>
                      <w:color w:val="auto"/>
                    </w:rPr>
                    <w:t>达标</w:t>
                  </w:r>
                </w:p>
              </w:tc>
            </w:tr>
          </w:tbl>
          <w:p>
            <w:pPr>
              <w:spacing w:before="120" w:beforeLines="50"/>
              <w:ind w:left="5" w:leftChars="2" w:right="26" w:rightChars="11" w:firstLine="472" w:firstLineChars="197"/>
              <w:rPr>
                <w:rFonts w:hint="eastAsia" w:ascii="宋体" w:hAnsi="宋体" w:cs="宋体"/>
                <w:color w:val="auto"/>
                <w:kern w:val="0"/>
                <w:szCs w:val="21"/>
              </w:rPr>
            </w:pPr>
            <w:r>
              <w:rPr>
                <w:rFonts w:hint="eastAsia"/>
                <w:color w:val="auto"/>
              </w:rPr>
              <w:t>从监测结果分析可知，各监测点昼夜声环境均能达到《声环境质量标准》（GB3096-2008）3类标准，项目区周边声环境质量良好</w:t>
            </w:r>
            <w:r>
              <w:rPr>
                <w:rFonts w:hint="eastAsia" w:ascii="宋体" w:hAnsi="宋体"/>
                <w:bCs/>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5" w:hRule="atLeast"/>
          <w:jc w:val="center"/>
        </w:trPr>
        <w:tc>
          <w:tcPr>
            <w:tcW w:w="456" w:type="dxa"/>
            <w:vAlign w:val="center"/>
          </w:tcPr>
          <w:p>
            <w:pPr>
              <w:pStyle w:val="54"/>
              <w:spacing w:line="360" w:lineRule="auto"/>
              <w:rPr>
                <w:color w:val="auto"/>
                <w:sz w:val="24"/>
                <w:szCs w:val="24"/>
              </w:rPr>
            </w:pPr>
            <w:r>
              <w:rPr>
                <w:rFonts w:hint="eastAsia"/>
                <w:color w:val="auto"/>
                <w:sz w:val="24"/>
                <w:szCs w:val="24"/>
              </w:rPr>
              <w:t>环境</w:t>
            </w:r>
          </w:p>
          <w:p>
            <w:pPr>
              <w:pStyle w:val="54"/>
              <w:spacing w:line="360" w:lineRule="auto"/>
              <w:rPr>
                <w:color w:val="auto"/>
                <w:sz w:val="24"/>
                <w:szCs w:val="24"/>
              </w:rPr>
            </w:pPr>
            <w:r>
              <w:rPr>
                <w:rFonts w:hint="eastAsia"/>
                <w:color w:val="auto"/>
                <w:sz w:val="24"/>
                <w:szCs w:val="24"/>
              </w:rPr>
              <w:t>保护</w:t>
            </w:r>
          </w:p>
          <w:p>
            <w:pPr>
              <w:pStyle w:val="54"/>
              <w:spacing w:line="360" w:lineRule="auto"/>
              <w:rPr>
                <w:color w:val="auto"/>
                <w:sz w:val="24"/>
                <w:szCs w:val="24"/>
              </w:rPr>
            </w:pPr>
            <w:r>
              <w:rPr>
                <w:rFonts w:hint="eastAsia"/>
                <w:color w:val="auto"/>
                <w:sz w:val="24"/>
                <w:szCs w:val="24"/>
              </w:rPr>
              <w:t>目标</w:t>
            </w:r>
          </w:p>
        </w:tc>
        <w:tc>
          <w:tcPr>
            <w:tcW w:w="8513" w:type="dxa"/>
            <w:vAlign w:val="center"/>
          </w:tcPr>
          <w:p>
            <w:pPr>
              <w:pStyle w:val="4"/>
              <w:rPr>
                <w:color w:val="auto"/>
              </w:rPr>
            </w:pPr>
            <w:r>
              <w:rPr>
                <w:rFonts w:hint="eastAsia"/>
                <w:color w:val="auto"/>
              </w:rPr>
              <w:t>1环境空气保护目标</w:t>
            </w:r>
          </w:p>
          <w:p>
            <w:pPr>
              <w:ind w:firstLine="480"/>
              <w:rPr>
                <w:color w:val="auto"/>
              </w:rPr>
            </w:pPr>
            <w:r>
              <w:rPr>
                <w:rFonts w:hint="eastAsia"/>
                <w:color w:val="auto"/>
              </w:rPr>
              <w:t>根据现场调查，项目周围500m范围内的有大气环境保护目标为科加村，影响人数为186人。</w:t>
            </w:r>
          </w:p>
          <w:p>
            <w:pPr>
              <w:pStyle w:val="4"/>
              <w:rPr>
                <w:color w:val="auto"/>
              </w:rPr>
            </w:pPr>
            <w:r>
              <w:rPr>
                <w:rFonts w:hint="eastAsia"/>
                <w:color w:val="auto"/>
              </w:rPr>
              <w:t>2声环境保护目标</w:t>
            </w:r>
          </w:p>
          <w:p>
            <w:pPr>
              <w:ind w:firstLine="480"/>
              <w:rPr>
                <w:color w:val="auto"/>
              </w:rPr>
            </w:pPr>
            <w:r>
              <w:rPr>
                <w:rFonts w:hint="eastAsia"/>
                <w:color w:val="auto"/>
              </w:rPr>
              <w:t>本项目50m范围内无声环境保护目标。</w:t>
            </w:r>
          </w:p>
          <w:p>
            <w:pPr>
              <w:pStyle w:val="4"/>
              <w:rPr>
                <w:color w:val="auto"/>
              </w:rPr>
            </w:pPr>
            <w:r>
              <w:rPr>
                <w:rFonts w:hint="eastAsia"/>
                <w:color w:val="auto"/>
              </w:rPr>
              <w:t>3地表水环境保护目标</w:t>
            </w:r>
          </w:p>
          <w:p>
            <w:pPr>
              <w:ind w:firstLine="480"/>
              <w:rPr>
                <w:color w:val="auto"/>
              </w:rPr>
            </w:pPr>
            <w:r>
              <w:rPr>
                <w:rFonts w:hint="eastAsia"/>
                <w:color w:val="auto"/>
              </w:rPr>
              <w:t>本项目涉及的地表水为项目区西侧460m处的尕干曲。</w:t>
            </w:r>
          </w:p>
          <w:p>
            <w:pPr>
              <w:ind w:firstLine="480"/>
              <w:rPr>
                <w:color w:val="auto"/>
              </w:rPr>
            </w:pPr>
            <w:r>
              <w:rPr>
                <w:rFonts w:hint="eastAsia"/>
                <w:color w:val="auto"/>
              </w:rPr>
              <w:t>主要保护目标见表3-3，外</w:t>
            </w:r>
            <w:r>
              <w:rPr>
                <w:color w:val="auto"/>
              </w:rPr>
              <w:t>环境关系图见附图</w:t>
            </w:r>
            <w:r>
              <w:rPr>
                <w:rFonts w:hint="eastAsia"/>
                <w:color w:val="auto"/>
              </w:rPr>
              <w:t>3。</w:t>
            </w:r>
          </w:p>
          <w:p>
            <w:pPr>
              <w:ind w:firstLine="480"/>
              <w:rPr>
                <w:color w:val="auto"/>
              </w:rPr>
            </w:pPr>
          </w:p>
          <w:p>
            <w:pPr>
              <w:pStyle w:val="55"/>
              <w:widowControl/>
              <w:rPr>
                <w:color w:val="auto"/>
              </w:rPr>
            </w:pPr>
            <w:r>
              <w:rPr>
                <w:color w:val="auto"/>
              </w:rPr>
              <w:t>表</w:t>
            </w:r>
            <w:r>
              <w:rPr>
                <w:rFonts w:hint="eastAsia"/>
                <w:color w:val="auto"/>
              </w:rPr>
              <w:t>3-3</w:t>
            </w:r>
            <w:r>
              <w:rPr>
                <w:color w:val="auto"/>
              </w:rPr>
              <w:t>环境保护目标一览表</w:t>
            </w:r>
          </w:p>
          <w:tbl>
            <w:tblPr>
              <w:tblStyle w:val="31"/>
              <w:tblpPr w:leftFromText="180" w:rightFromText="180" w:vertAnchor="text" w:tblpY="1"/>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3"/>
              <w:gridCol w:w="1126"/>
              <w:gridCol w:w="938"/>
              <w:gridCol w:w="823"/>
              <w:gridCol w:w="1265"/>
              <w:gridCol w:w="2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00" w:type="pct"/>
                  <w:vAlign w:val="center"/>
                </w:tcPr>
                <w:p>
                  <w:pPr>
                    <w:pStyle w:val="54"/>
                    <w:widowControl/>
                    <w:spacing w:line="360" w:lineRule="auto"/>
                    <w:rPr>
                      <w:color w:val="auto"/>
                    </w:rPr>
                  </w:pPr>
                  <w:r>
                    <w:rPr>
                      <w:color w:val="auto"/>
                    </w:rPr>
                    <w:t>环境要素</w:t>
                  </w:r>
                </w:p>
              </w:tc>
              <w:tc>
                <w:tcPr>
                  <w:tcW w:w="721" w:type="pct"/>
                  <w:vAlign w:val="center"/>
                </w:tcPr>
                <w:p>
                  <w:pPr>
                    <w:pStyle w:val="54"/>
                    <w:widowControl/>
                    <w:spacing w:line="360" w:lineRule="auto"/>
                    <w:rPr>
                      <w:color w:val="auto"/>
                    </w:rPr>
                  </w:pPr>
                  <w:r>
                    <w:rPr>
                      <w:color w:val="auto"/>
                    </w:rPr>
                    <w:t>保护目标</w:t>
                  </w:r>
                </w:p>
              </w:tc>
              <w:tc>
                <w:tcPr>
                  <w:tcW w:w="601" w:type="pct"/>
                  <w:vAlign w:val="center"/>
                </w:tcPr>
                <w:p>
                  <w:pPr>
                    <w:pStyle w:val="54"/>
                    <w:widowControl/>
                    <w:spacing w:line="360" w:lineRule="auto"/>
                    <w:rPr>
                      <w:color w:val="auto"/>
                    </w:rPr>
                  </w:pPr>
                  <w:r>
                    <w:rPr>
                      <w:color w:val="auto"/>
                    </w:rPr>
                    <w:t>位置</w:t>
                  </w:r>
                </w:p>
              </w:tc>
              <w:tc>
                <w:tcPr>
                  <w:tcW w:w="509" w:type="pct"/>
                  <w:vAlign w:val="center"/>
                </w:tcPr>
                <w:p>
                  <w:pPr>
                    <w:pStyle w:val="54"/>
                    <w:widowControl/>
                    <w:spacing w:line="360" w:lineRule="auto"/>
                    <w:rPr>
                      <w:color w:val="auto"/>
                    </w:rPr>
                  </w:pPr>
                  <w:r>
                    <w:rPr>
                      <w:rFonts w:hint="eastAsia"/>
                      <w:color w:val="auto"/>
                    </w:rPr>
                    <w:t>距离</w:t>
                  </w:r>
                </w:p>
              </w:tc>
              <w:tc>
                <w:tcPr>
                  <w:tcW w:w="809" w:type="pct"/>
                  <w:vAlign w:val="center"/>
                </w:tcPr>
                <w:p>
                  <w:pPr>
                    <w:pStyle w:val="54"/>
                    <w:widowControl/>
                    <w:spacing w:line="360" w:lineRule="auto"/>
                    <w:rPr>
                      <w:color w:val="auto"/>
                    </w:rPr>
                  </w:pPr>
                  <w:r>
                    <w:rPr>
                      <w:color w:val="auto"/>
                    </w:rPr>
                    <w:t>受影响</w:t>
                  </w:r>
                  <w:r>
                    <w:rPr>
                      <w:rFonts w:hint="eastAsia"/>
                      <w:color w:val="auto"/>
                    </w:rPr>
                    <w:t>规模</w:t>
                  </w:r>
                </w:p>
              </w:tc>
              <w:tc>
                <w:tcPr>
                  <w:tcW w:w="1657" w:type="pct"/>
                  <w:vAlign w:val="center"/>
                </w:tcPr>
                <w:p>
                  <w:pPr>
                    <w:pStyle w:val="54"/>
                    <w:widowControl/>
                    <w:spacing w:line="360" w:lineRule="auto"/>
                    <w:rPr>
                      <w:color w:val="auto"/>
                    </w:rPr>
                  </w:pPr>
                  <w:r>
                    <w:rPr>
                      <w:color w:val="auto"/>
                    </w:rPr>
                    <w:t>环境质量保护目标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700" w:type="pct"/>
                  <w:vAlign w:val="center"/>
                </w:tcPr>
                <w:p>
                  <w:pPr>
                    <w:pStyle w:val="54"/>
                    <w:widowControl/>
                    <w:spacing w:line="360" w:lineRule="auto"/>
                    <w:rPr>
                      <w:color w:val="auto"/>
                    </w:rPr>
                  </w:pPr>
                  <w:r>
                    <w:rPr>
                      <w:rFonts w:hint="eastAsia"/>
                      <w:color w:val="auto"/>
                    </w:rPr>
                    <w:t>地表水</w:t>
                  </w:r>
                </w:p>
              </w:tc>
              <w:tc>
                <w:tcPr>
                  <w:tcW w:w="721" w:type="pct"/>
                  <w:vAlign w:val="center"/>
                </w:tcPr>
                <w:p>
                  <w:pPr>
                    <w:pStyle w:val="54"/>
                    <w:widowControl/>
                    <w:spacing w:line="360" w:lineRule="auto"/>
                    <w:rPr>
                      <w:color w:val="auto"/>
                    </w:rPr>
                  </w:pPr>
                  <w:r>
                    <w:rPr>
                      <w:rFonts w:hint="eastAsia"/>
                      <w:color w:val="auto"/>
                    </w:rPr>
                    <w:t>尕干曲</w:t>
                  </w:r>
                </w:p>
              </w:tc>
              <w:tc>
                <w:tcPr>
                  <w:tcW w:w="601" w:type="pct"/>
                  <w:vAlign w:val="center"/>
                </w:tcPr>
                <w:p>
                  <w:pPr>
                    <w:pStyle w:val="54"/>
                    <w:spacing w:line="360" w:lineRule="auto"/>
                    <w:rPr>
                      <w:color w:val="auto"/>
                    </w:rPr>
                  </w:pPr>
                  <w:r>
                    <w:rPr>
                      <w:rFonts w:hint="eastAsia"/>
                      <w:color w:val="auto"/>
                    </w:rPr>
                    <w:t>西侧</w:t>
                  </w:r>
                </w:p>
              </w:tc>
              <w:tc>
                <w:tcPr>
                  <w:tcW w:w="509" w:type="pct"/>
                  <w:vAlign w:val="center"/>
                </w:tcPr>
                <w:p>
                  <w:pPr>
                    <w:pStyle w:val="54"/>
                    <w:spacing w:line="360" w:lineRule="auto"/>
                    <w:rPr>
                      <w:color w:val="auto"/>
                    </w:rPr>
                  </w:pPr>
                  <w:r>
                    <w:rPr>
                      <w:rFonts w:hint="eastAsia"/>
                      <w:color w:val="auto"/>
                    </w:rPr>
                    <w:t>460m</w:t>
                  </w:r>
                </w:p>
              </w:tc>
              <w:tc>
                <w:tcPr>
                  <w:tcW w:w="809" w:type="pct"/>
                  <w:vAlign w:val="center"/>
                </w:tcPr>
                <w:p>
                  <w:pPr>
                    <w:pStyle w:val="54"/>
                    <w:spacing w:line="360" w:lineRule="auto"/>
                    <w:rPr>
                      <w:color w:val="auto"/>
                    </w:rPr>
                  </w:pPr>
                  <w:r>
                    <w:rPr>
                      <w:rFonts w:hint="eastAsia"/>
                      <w:color w:val="auto"/>
                    </w:rPr>
                    <w:t>/</w:t>
                  </w:r>
                </w:p>
              </w:tc>
              <w:tc>
                <w:tcPr>
                  <w:tcW w:w="1657" w:type="pct"/>
                  <w:vAlign w:val="center"/>
                </w:tcPr>
                <w:p>
                  <w:pPr>
                    <w:pStyle w:val="54"/>
                    <w:spacing w:line="360" w:lineRule="auto"/>
                    <w:rPr>
                      <w:color w:val="auto"/>
                    </w:rPr>
                  </w:pPr>
                  <w:r>
                    <w:rPr>
                      <w:rFonts w:hint="eastAsia"/>
                      <w:color w:val="auto"/>
                    </w:rPr>
                    <w:t>《地表水环境质量标准》（GB3838-2002）</w:t>
                  </w:r>
                  <w:r>
                    <w:rPr>
                      <w:rFonts w:hint="eastAsia" w:ascii="宋体" w:hAnsi="宋体"/>
                      <w:color w:val="auto"/>
                    </w:rPr>
                    <w:t>Ⅱ</w:t>
                  </w:r>
                  <w:r>
                    <w:rPr>
                      <w:rFonts w:hint="eastAsia"/>
                      <w:color w:val="auto"/>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700" w:type="pct"/>
                  <w:vAlign w:val="center"/>
                </w:tcPr>
                <w:p>
                  <w:pPr>
                    <w:pStyle w:val="54"/>
                    <w:widowControl/>
                    <w:spacing w:line="360" w:lineRule="auto"/>
                    <w:rPr>
                      <w:color w:val="auto"/>
                    </w:rPr>
                  </w:pPr>
                  <w:r>
                    <w:rPr>
                      <w:rFonts w:hint="eastAsia"/>
                      <w:color w:val="auto"/>
                    </w:rPr>
                    <w:t>环境空气</w:t>
                  </w:r>
                </w:p>
              </w:tc>
              <w:tc>
                <w:tcPr>
                  <w:tcW w:w="721" w:type="pct"/>
                  <w:vAlign w:val="center"/>
                </w:tcPr>
                <w:p>
                  <w:pPr>
                    <w:pStyle w:val="54"/>
                    <w:widowControl/>
                    <w:spacing w:line="360" w:lineRule="auto"/>
                    <w:rPr>
                      <w:color w:val="auto"/>
                    </w:rPr>
                  </w:pPr>
                  <w:r>
                    <w:rPr>
                      <w:rFonts w:hint="eastAsia"/>
                      <w:color w:val="auto"/>
                    </w:rPr>
                    <w:t>科加村</w:t>
                  </w:r>
                </w:p>
              </w:tc>
              <w:tc>
                <w:tcPr>
                  <w:tcW w:w="601" w:type="pct"/>
                  <w:vAlign w:val="center"/>
                </w:tcPr>
                <w:p>
                  <w:pPr>
                    <w:pStyle w:val="54"/>
                    <w:spacing w:line="360" w:lineRule="auto"/>
                    <w:rPr>
                      <w:color w:val="auto"/>
                    </w:rPr>
                  </w:pPr>
                  <w:r>
                    <w:rPr>
                      <w:rFonts w:hint="eastAsia"/>
                      <w:color w:val="auto"/>
                    </w:rPr>
                    <w:t>东北侧</w:t>
                  </w:r>
                </w:p>
              </w:tc>
              <w:tc>
                <w:tcPr>
                  <w:tcW w:w="509" w:type="pct"/>
                  <w:vAlign w:val="center"/>
                </w:tcPr>
                <w:p>
                  <w:pPr>
                    <w:pStyle w:val="54"/>
                    <w:spacing w:line="360" w:lineRule="auto"/>
                    <w:rPr>
                      <w:color w:val="auto"/>
                    </w:rPr>
                  </w:pPr>
                  <w:r>
                    <w:rPr>
                      <w:rFonts w:hint="eastAsia"/>
                      <w:color w:val="auto"/>
                    </w:rPr>
                    <w:t>180m</w:t>
                  </w:r>
                </w:p>
              </w:tc>
              <w:tc>
                <w:tcPr>
                  <w:tcW w:w="809" w:type="pct"/>
                  <w:vAlign w:val="center"/>
                </w:tcPr>
                <w:p>
                  <w:pPr>
                    <w:pStyle w:val="54"/>
                    <w:spacing w:line="360" w:lineRule="auto"/>
                    <w:rPr>
                      <w:color w:val="auto"/>
                    </w:rPr>
                  </w:pPr>
                  <w:r>
                    <w:rPr>
                      <w:rFonts w:hint="eastAsia"/>
                      <w:color w:val="auto"/>
                    </w:rPr>
                    <w:t>286人</w:t>
                  </w:r>
                </w:p>
              </w:tc>
              <w:tc>
                <w:tcPr>
                  <w:tcW w:w="1657" w:type="pct"/>
                  <w:vAlign w:val="center"/>
                </w:tcPr>
                <w:p>
                  <w:pPr>
                    <w:pStyle w:val="54"/>
                    <w:spacing w:line="360" w:lineRule="auto"/>
                    <w:rPr>
                      <w:color w:val="auto"/>
                    </w:rPr>
                  </w:pPr>
                  <w:r>
                    <w:rPr>
                      <w:rFonts w:hint="eastAsia"/>
                      <w:color w:val="auto"/>
                    </w:rPr>
                    <w:t>《环境空气质量标准》（GB3095-2012）二级标准</w:t>
                  </w:r>
                </w:p>
              </w:tc>
            </w:tr>
          </w:tbl>
          <w:p>
            <w:pPr>
              <w:ind w:firstLine="480"/>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456" w:type="dxa"/>
            <w:tcMar>
              <w:left w:w="28" w:type="dxa"/>
              <w:right w:w="28" w:type="dxa"/>
            </w:tcMar>
            <w:vAlign w:val="center"/>
          </w:tcPr>
          <w:p>
            <w:pPr>
              <w:pStyle w:val="54"/>
              <w:spacing w:line="360" w:lineRule="auto"/>
              <w:rPr>
                <w:color w:val="auto"/>
                <w:sz w:val="24"/>
                <w:szCs w:val="24"/>
              </w:rPr>
            </w:pPr>
            <w:r>
              <w:rPr>
                <w:rFonts w:hint="eastAsia"/>
                <w:color w:val="auto"/>
                <w:sz w:val="24"/>
                <w:szCs w:val="24"/>
              </w:rPr>
              <w:t>污染</w:t>
            </w:r>
          </w:p>
          <w:p>
            <w:pPr>
              <w:pStyle w:val="54"/>
              <w:spacing w:line="360" w:lineRule="auto"/>
              <w:rPr>
                <w:color w:val="auto"/>
                <w:sz w:val="24"/>
                <w:szCs w:val="24"/>
              </w:rPr>
            </w:pPr>
            <w:r>
              <w:rPr>
                <w:rFonts w:hint="eastAsia"/>
                <w:color w:val="auto"/>
                <w:sz w:val="24"/>
                <w:szCs w:val="24"/>
              </w:rPr>
              <w:t>物排</w:t>
            </w:r>
          </w:p>
          <w:p>
            <w:pPr>
              <w:pStyle w:val="54"/>
              <w:spacing w:line="360" w:lineRule="auto"/>
              <w:rPr>
                <w:color w:val="auto"/>
                <w:sz w:val="24"/>
                <w:szCs w:val="24"/>
              </w:rPr>
            </w:pPr>
            <w:r>
              <w:rPr>
                <w:rFonts w:hint="eastAsia"/>
                <w:color w:val="auto"/>
                <w:sz w:val="24"/>
                <w:szCs w:val="24"/>
              </w:rPr>
              <w:t>放控</w:t>
            </w:r>
          </w:p>
          <w:p>
            <w:pPr>
              <w:pStyle w:val="54"/>
              <w:spacing w:line="360" w:lineRule="auto"/>
              <w:rPr>
                <w:color w:val="auto"/>
                <w:sz w:val="24"/>
                <w:szCs w:val="24"/>
              </w:rPr>
            </w:pPr>
            <w:r>
              <w:rPr>
                <w:rFonts w:hint="eastAsia"/>
                <w:color w:val="auto"/>
                <w:sz w:val="24"/>
                <w:szCs w:val="24"/>
              </w:rPr>
              <w:t>制标</w:t>
            </w:r>
          </w:p>
          <w:p>
            <w:pPr>
              <w:pStyle w:val="54"/>
              <w:spacing w:line="360" w:lineRule="auto"/>
              <w:rPr>
                <w:color w:val="auto"/>
                <w:sz w:val="24"/>
                <w:szCs w:val="24"/>
              </w:rPr>
            </w:pPr>
            <w:r>
              <w:rPr>
                <w:rFonts w:hint="eastAsia"/>
                <w:color w:val="auto"/>
                <w:sz w:val="24"/>
                <w:szCs w:val="24"/>
              </w:rPr>
              <w:t>准</w:t>
            </w:r>
          </w:p>
        </w:tc>
        <w:tc>
          <w:tcPr>
            <w:tcW w:w="8513" w:type="dxa"/>
            <w:vAlign w:val="center"/>
          </w:tcPr>
          <w:p>
            <w:pPr>
              <w:pStyle w:val="5"/>
              <w:ind w:firstLine="281"/>
              <w:rPr>
                <w:color w:val="auto"/>
              </w:rPr>
            </w:pPr>
            <w:r>
              <w:rPr>
                <w:rFonts w:hint="eastAsia"/>
                <w:color w:val="auto"/>
              </w:rPr>
              <w:t>1废气</w:t>
            </w:r>
          </w:p>
          <w:p>
            <w:pPr>
              <w:ind w:firstLine="480"/>
              <w:rPr>
                <w:color w:val="auto"/>
              </w:rPr>
            </w:pPr>
            <w:r>
              <w:rPr>
                <w:rFonts w:hint="eastAsia" w:ascii="宋体" w:hAnsi="宋体" w:cs="宋体"/>
                <w:bCs/>
                <w:color w:val="auto"/>
              </w:rPr>
              <w:t>项目采取间接加热的方式对骨料进行烘干加热，因此项目骨料烘干工序及沥青加热、拌合工序废气应执行 《大气污染物综合排放标准》(GB16297-1996)二级排放限值，具体标准详见表3-4。</w:t>
            </w:r>
          </w:p>
          <w:p>
            <w:pPr>
              <w:ind w:firstLine="1476" w:firstLineChars="700"/>
              <w:rPr>
                <w:rFonts w:hint="eastAsia" w:ascii="宋体" w:hAnsi="宋体" w:cs="宋体"/>
                <w:b/>
                <w:color w:val="auto"/>
                <w:sz w:val="21"/>
                <w:szCs w:val="21"/>
              </w:rPr>
            </w:pPr>
            <w:r>
              <w:rPr>
                <w:rFonts w:hint="eastAsia" w:ascii="宋体" w:hAnsi="宋体" w:cs="宋体"/>
                <w:b/>
                <w:color w:val="auto"/>
                <w:sz w:val="21"/>
                <w:szCs w:val="21"/>
              </w:rPr>
              <w:t xml:space="preserve">表3-4 大气污染物综合排放标准一览表      </w:t>
            </w:r>
          </w:p>
          <w:tbl>
            <w:tblPr>
              <w:tblStyle w:val="3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01"/>
              <w:gridCol w:w="2009"/>
              <w:gridCol w:w="2015"/>
              <w:gridCol w:w="252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8" w:type="pct"/>
                  <w:vMerge w:val="restart"/>
                  <w:tcBorders>
                    <w:tl2br w:val="nil"/>
                    <w:tr2bl w:val="nil"/>
                  </w:tcBorders>
                  <w:vAlign w:val="center"/>
                </w:tcPr>
                <w:p>
                  <w:pPr>
                    <w:ind w:firstLine="0" w:firstLineChars="0"/>
                    <w:jc w:val="center"/>
                    <w:rPr>
                      <w:color w:val="auto"/>
                      <w:sz w:val="21"/>
                      <w:szCs w:val="21"/>
                    </w:rPr>
                  </w:pPr>
                  <w:r>
                    <w:rPr>
                      <w:color w:val="auto"/>
                      <w:sz w:val="21"/>
                      <w:szCs w:val="21"/>
                    </w:rPr>
                    <w:t>项 目</w:t>
                  </w:r>
                </w:p>
              </w:tc>
              <w:tc>
                <w:tcPr>
                  <w:tcW w:w="2562" w:type="pct"/>
                  <w:gridSpan w:val="2"/>
                  <w:tcBorders>
                    <w:tl2br w:val="nil"/>
                    <w:tr2bl w:val="nil"/>
                  </w:tcBorders>
                  <w:vAlign w:val="center"/>
                </w:tcPr>
                <w:p>
                  <w:pPr>
                    <w:ind w:firstLine="0" w:firstLineChars="0"/>
                    <w:jc w:val="center"/>
                    <w:rPr>
                      <w:color w:val="auto"/>
                      <w:sz w:val="21"/>
                      <w:szCs w:val="21"/>
                    </w:rPr>
                  </w:pPr>
                  <w:r>
                    <w:rPr>
                      <w:color w:val="auto"/>
                      <w:sz w:val="21"/>
                      <w:szCs w:val="21"/>
                    </w:rPr>
                    <w:t>有组织排放限值（排气筒高度15m）</w:t>
                  </w:r>
                </w:p>
              </w:tc>
              <w:tc>
                <w:tcPr>
                  <w:tcW w:w="1608" w:type="pct"/>
                  <w:vMerge w:val="restart"/>
                  <w:tcBorders>
                    <w:tl2br w:val="nil"/>
                    <w:tr2bl w:val="nil"/>
                  </w:tcBorders>
                  <w:vAlign w:val="center"/>
                </w:tcPr>
                <w:p>
                  <w:pPr>
                    <w:ind w:firstLine="0" w:firstLineChars="0"/>
                    <w:jc w:val="center"/>
                    <w:rPr>
                      <w:color w:val="auto"/>
                      <w:sz w:val="21"/>
                      <w:szCs w:val="21"/>
                    </w:rPr>
                  </w:pPr>
                  <w:r>
                    <w:rPr>
                      <w:color w:val="auto"/>
                      <w:sz w:val="21"/>
                      <w:szCs w:val="21"/>
                    </w:rPr>
                    <w:t>无组织排放监控浓度限值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8" w:type="pct"/>
                  <w:vMerge w:val="continue"/>
                  <w:tcBorders>
                    <w:tl2br w:val="nil"/>
                    <w:tr2bl w:val="nil"/>
                  </w:tcBorders>
                  <w:vAlign w:val="center"/>
                </w:tcPr>
                <w:p>
                  <w:pPr>
                    <w:ind w:firstLine="0" w:firstLineChars="0"/>
                    <w:jc w:val="center"/>
                    <w:rPr>
                      <w:color w:val="auto"/>
                      <w:sz w:val="21"/>
                      <w:szCs w:val="21"/>
                    </w:rPr>
                  </w:pPr>
                </w:p>
              </w:tc>
              <w:tc>
                <w:tcPr>
                  <w:tcW w:w="1279" w:type="pct"/>
                  <w:tcBorders>
                    <w:tl2br w:val="nil"/>
                    <w:tr2bl w:val="nil"/>
                  </w:tcBorders>
                  <w:vAlign w:val="center"/>
                </w:tcPr>
                <w:p>
                  <w:pPr>
                    <w:ind w:firstLine="0" w:firstLineChars="0"/>
                    <w:jc w:val="center"/>
                    <w:rPr>
                      <w:color w:val="auto"/>
                      <w:sz w:val="21"/>
                      <w:szCs w:val="21"/>
                    </w:rPr>
                  </w:pPr>
                  <w:r>
                    <w:rPr>
                      <w:color w:val="auto"/>
                      <w:sz w:val="21"/>
                      <w:szCs w:val="21"/>
                    </w:rPr>
                    <w:t>排放浓度mg/m</w:t>
                  </w:r>
                  <w:r>
                    <w:rPr>
                      <w:color w:val="auto"/>
                      <w:sz w:val="21"/>
                      <w:szCs w:val="21"/>
                      <w:vertAlign w:val="superscript"/>
                    </w:rPr>
                    <w:t>3</w:t>
                  </w:r>
                </w:p>
              </w:tc>
              <w:tc>
                <w:tcPr>
                  <w:tcW w:w="1283" w:type="pct"/>
                  <w:tcBorders>
                    <w:tl2br w:val="nil"/>
                    <w:tr2bl w:val="nil"/>
                  </w:tcBorders>
                  <w:vAlign w:val="center"/>
                </w:tcPr>
                <w:p>
                  <w:pPr>
                    <w:ind w:firstLine="0" w:firstLineChars="0"/>
                    <w:jc w:val="center"/>
                    <w:rPr>
                      <w:color w:val="auto"/>
                      <w:sz w:val="21"/>
                      <w:szCs w:val="21"/>
                    </w:rPr>
                  </w:pPr>
                  <w:r>
                    <w:rPr>
                      <w:color w:val="auto"/>
                      <w:sz w:val="21"/>
                      <w:szCs w:val="21"/>
                    </w:rPr>
                    <w:t>排放速率kg/h</w:t>
                  </w:r>
                </w:p>
              </w:tc>
              <w:tc>
                <w:tcPr>
                  <w:tcW w:w="1608" w:type="pct"/>
                  <w:vMerge w:val="continue"/>
                  <w:tcBorders>
                    <w:tl2br w:val="nil"/>
                    <w:tr2bl w:val="nil"/>
                  </w:tcBorders>
                  <w:vAlign w:val="center"/>
                </w:tcPr>
                <w:p>
                  <w:pPr>
                    <w:ind w:firstLine="0" w:firstLineChars="0"/>
                    <w:jc w:val="center"/>
                    <w:rPr>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8" w:type="pct"/>
                  <w:tcBorders>
                    <w:tl2br w:val="nil"/>
                    <w:tr2bl w:val="nil"/>
                  </w:tcBorders>
                  <w:vAlign w:val="center"/>
                </w:tcPr>
                <w:p>
                  <w:pPr>
                    <w:ind w:firstLine="0" w:firstLineChars="0"/>
                    <w:jc w:val="center"/>
                    <w:rPr>
                      <w:color w:val="auto"/>
                      <w:sz w:val="21"/>
                      <w:szCs w:val="21"/>
                    </w:rPr>
                  </w:pPr>
                  <w:r>
                    <w:rPr>
                      <w:color w:val="auto"/>
                      <w:sz w:val="21"/>
                      <w:szCs w:val="21"/>
                    </w:rPr>
                    <w:t>颗粒物</w:t>
                  </w:r>
                </w:p>
              </w:tc>
              <w:tc>
                <w:tcPr>
                  <w:tcW w:w="1279" w:type="pct"/>
                  <w:tcBorders>
                    <w:tl2br w:val="nil"/>
                    <w:tr2bl w:val="nil"/>
                  </w:tcBorders>
                  <w:vAlign w:val="center"/>
                </w:tcPr>
                <w:p>
                  <w:pPr>
                    <w:ind w:firstLine="0" w:firstLineChars="0"/>
                    <w:jc w:val="center"/>
                    <w:rPr>
                      <w:color w:val="auto"/>
                      <w:sz w:val="21"/>
                      <w:szCs w:val="21"/>
                    </w:rPr>
                  </w:pPr>
                  <w:r>
                    <w:rPr>
                      <w:color w:val="auto"/>
                      <w:sz w:val="21"/>
                      <w:szCs w:val="21"/>
                    </w:rPr>
                    <w:t>120</w:t>
                  </w:r>
                </w:p>
              </w:tc>
              <w:tc>
                <w:tcPr>
                  <w:tcW w:w="1283" w:type="pct"/>
                  <w:tcBorders>
                    <w:tl2br w:val="nil"/>
                    <w:tr2bl w:val="nil"/>
                  </w:tcBorders>
                  <w:vAlign w:val="center"/>
                </w:tcPr>
                <w:p>
                  <w:pPr>
                    <w:ind w:firstLine="0" w:firstLineChars="0"/>
                    <w:jc w:val="center"/>
                    <w:rPr>
                      <w:color w:val="auto"/>
                      <w:sz w:val="21"/>
                      <w:szCs w:val="21"/>
                    </w:rPr>
                  </w:pPr>
                  <w:r>
                    <w:rPr>
                      <w:color w:val="auto"/>
                      <w:sz w:val="21"/>
                      <w:szCs w:val="21"/>
                    </w:rPr>
                    <w:t>3.5</w:t>
                  </w:r>
                </w:p>
              </w:tc>
              <w:tc>
                <w:tcPr>
                  <w:tcW w:w="1608" w:type="pct"/>
                  <w:tcBorders>
                    <w:tl2br w:val="nil"/>
                    <w:tr2bl w:val="nil"/>
                  </w:tcBorders>
                  <w:vAlign w:val="center"/>
                </w:tcPr>
                <w:p>
                  <w:pPr>
                    <w:ind w:firstLine="0" w:firstLineChars="0"/>
                    <w:jc w:val="center"/>
                    <w:rPr>
                      <w:color w:val="auto"/>
                      <w:sz w:val="21"/>
                      <w:szCs w:val="21"/>
                    </w:rPr>
                  </w:pPr>
                  <w:r>
                    <w:rPr>
                      <w:color w:val="auto"/>
                      <w:sz w:val="21"/>
                      <w:szCs w:val="21"/>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8" w:type="pct"/>
                  <w:tcBorders>
                    <w:tl2br w:val="nil"/>
                    <w:tr2bl w:val="nil"/>
                  </w:tcBorders>
                  <w:vAlign w:val="center"/>
                </w:tcPr>
                <w:p>
                  <w:pPr>
                    <w:ind w:firstLine="0" w:firstLineChars="0"/>
                    <w:jc w:val="center"/>
                    <w:rPr>
                      <w:color w:val="auto"/>
                      <w:sz w:val="21"/>
                      <w:szCs w:val="21"/>
                    </w:rPr>
                  </w:pPr>
                  <w:r>
                    <w:rPr>
                      <w:color w:val="auto"/>
                      <w:sz w:val="21"/>
                      <w:szCs w:val="21"/>
                    </w:rPr>
                    <w:t>沥青烟</w:t>
                  </w:r>
                </w:p>
              </w:tc>
              <w:tc>
                <w:tcPr>
                  <w:tcW w:w="1279" w:type="pct"/>
                  <w:tcBorders>
                    <w:tl2br w:val="nil"/>
                    <w:tr2bl w:val="nil"/>
                  </w:tcBorders>
                  <w:vAlign w:val="center"/>
                </w:tcPr>
                <w:p>
                  <w:pPr>
                    <w:ind w:firstLine="0" w:firstLineChars="0"/>
                    <w:jc w:val="center"/>
                    <w:rPr>
                      <w:color w:val="auto"/>
                      <w:sz w:val="21"/>
                      <w:szCs w:val="21"/>
                    </w:rPr>
                  </w:pPr>
                  <w:r>
                    <w:rPr>
                      <w:color w:val="auto"/>
                      <w:sz w:val="21"/>
                      <w:szCs w:val="21"/>
                    </w:rPr>
                    <w:t>75</w:t>
                  </w:r>
                </w:p>
              </w:tc>
              <w:tc>
                <w:tcPr>
                  <w:tcW w:w="1283" w:type="pct"/>
                  <w:tcBorders>
                    <w:tl2br w:val="nil"/>
                    <w:tr2bl w:val="nil"/>
                  </w:tcBorders>
                  <w:vAlign w:val="center"/>
                </w:tcPr>
                <w:p>
                  <w:pPr>
                    <w:ind w:firstLine="0" w:firstLineChars="0"/>
                    <w:jc w:val="center"/>
                    <w:rPr>
                      <w:color w:val="auto"/>
                      <w:sz w:val="21"/>
                      <w:szCs w:val="21"/>
                    </w:rPr>
                  </w:pPr>
                  <w:r>
                    <w:rPr>
                      <w:color w:val="auto"/>
                      <w:sz w:val="21"/>
                      <w:szCs w:val="21"/>
                    </w:rPr>
                    <w:t>0.18</w:t>
                  </w:r>
                </w:p>
              </w:tc>
              <w:tc>
                <w:tcPr>
                  <w:tcW w:w="1608" w:type="pct"/>
                  <w:tcBorders>
                    <w:tl2br w:val="nil"/>
                    <w:tr2bl w:val="nil"/>
                  </w:tcBorders>
                  <w:vAlign w:val="center"/>
                </w:tcPr>
                <w:p>
                  <w:pPr>
                    <w:ind w:firstLine="0" w:firstLineChars="0"/>
                    <w:jc w:val="center"/>
                    <w:rPr>
                      <w:color w:val="auto"/>
                      <w:sz w:val="21"/>
                      <w:szCs w:val="21"/>
                    </w:rPr>
                  </w:pPr>
                  <w:r>
                    <w:rPr>
                      <w:color w:val="auto"/>
                      <w:sz w:val="21"/>
                      <w:szCs w:val="21"/>
                    </w:rPr>
                    <w:t>生产设备不得有明显的无组织排放存在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28" w:type="pct"/>
                  <w:tcBorders>
                    <w:tl2br w:val="nil"/>
                    <w:tr2bl w:val="nil"/>
                  </w:tcBorders>
                  <w:vAlign w:val="center"/>
                </w:tcPr>
                <w:p>
                  <w:pPr>
                    <w:ind w:firstLine="0" w:firstLineChars="0"/>
                    <w:jc w:val="center"/>
                    <w:rPr>
                      <w:color w:val="auto"/>
                      <w:sz w:val="21"/>
                      <w:szCs w:val="21"/>
                    </w:rPr>
                  </w:pPr>
                  <w:r>
                    <w:rPr>
                      <w:color w:val="auto"/>
                      <w:sz w:val="21"/>
                      <w:szCs w:val="21"/>
                    </w:rPr>
                    <w:t>苯并[a]芘</w:t>
                  </w:r>
                </w:p>
              </w:tc>
              <w:tc>
                <w:tcPr>
                  <w:tcW w:w="1279" w:type="pct"/>
                  <w:tcBorders>
                    <w:tl2br w:val="nil"/>
                    <w:tr2bl w:val="nil"/>
                  </w:tcBorders>
                  <w:vAlign w:val="center"/>
                </w:tcPr>
                <w:p>
                  <w:pPr>
                    <w:ind w:firstLine="0" w:firstLineChars="0"/>
                    <w:jc w:val="center"/>
                    <w:rPr>
                      <w:color w:val="auto"/>
                      <w:sz w:val="21"/>
                      <w:szCs w:val="21"/>
                    </w:rPr>
                  </w:pPr>
                  <w:r>
                    <w:rPr>
                      <w:color w:val="auto"/>
                      <w:sz w:val="21"/>
                      <w:szCs w:val="21"/>
                    </w:rPr>
                    <w:t>0.3×10</w:t>
                  </w:r>
                  <w:r>
                    <w:rPr>
                      <w:color w:val="auto"/>
                      <w:sz w:val="21"/>
                      <w:szCs w:val="21"/>
                      <w:vertAlign w:val="superscript"/>
                    </w:rPr>
                    <w:t>-3</w:t>
                  </w:r>
                </w:p>
              </w:tc>
              <w:tc>
                <w:tcPr>
                  <w:tcW w:w="1283" w:type="pct"/>
                  <w:tcBorders>
                    <w:tl2br w:val="nil"/>
                    <w:tr2bl w:val="nil"/>
                  </w:tcBorders>
                  <w:vAlign w:val="center"/>
                </w:tcPr>
                <w:p>
                  <w:pPr>
                    <w:ind w:firstLine="0" w:firstLineChars="0"/>
                    <w:jc w:val="center"/>
                    <w:rPr>
                      <w:color w:val="auto"/>
                      <w:sz w:val="21"/>
                      <w:szCs w:val="21"/>
                    </w:rPr>
                  </w:pPr>
                  <w:r>
                    <w:rPr>
                      <w:color w:val="auto"/>
                      <w:sz w:val="21"/>
                      <w:szCs w:val="21"/>
                    </w:rPr>
                    <w:t>0.5×10</w:t>
                  </w:r>
                  <w:r>
                    <w:rPr>
                      <w:color w:val="auto"/>
                      <w:sz w:val="21"/>
                      <w:szCs w:val="21"/>
                      <w:vertAlign w:val="superscript"/>
                    </w:rPr>
                    <w:t>-3</w:t>
                  </w:r>
                </w:p>
              </w:tc>
              <w:tc>
                <w:tcPr>
                  <w:tcW w:w="1608" w:type="pct"/>
                  <w:tcBorders>
                    <w:tl2br w:val="nil"/>
                    <w:tr2bl w:val="nil"/>
                  </w:tcBorders>
                  <w:vAlign w:val="center"/>
                </w:tcPr>
                <w:p>
                  <w:pPr>
                    <w:ind w:firstLine="0" w:firstLineChars="0"/>
                    <w:jc w:val="center"/>
                    <w:rPr>
                      <w:color w:val="auto"/>
                      <w:sz w:val="21"/>
                      <w:szCs w:val="21"/>
                    </w:rPr>
                  </w:pPr>
                  <w:r>
                    <w:rPr>
                      <w:rFonts w:hint="eastAsia"/>
                      <w:color w:val="auto"/>
                      <w:sz w:val="21"/>
                      <w:szCs w:val="21"/>
                    </w:rPr>
                    <w:t>0.008</w:t>
                  </w:r>
                  <w:r>
                    <w:rPr>
                      <w:rFonts w:hint="eastAsia"/>
                      <w:color w:val="auto"/>
                    </w:rPr>
                    <w:t>μg/m</w:t>
                  </w:r>
                  <w:r>
                    <w:rPr>
                      <w:rFonts w:hint="eastAsia"/>
                      <w:color w:val="auto"/>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28" w:type="pct"/>
                  <w:tcBorders>
                    <w:tl2br w:val="nil"/>
                    <w:tr2bl w:val="nil"/>
                  </w:tcBorders>
                  <w:vAlign w:val="center"/>
                </w:tcPr>
                <w:p>
                  <w:pPr>
                    <w:ind w:firstLine="0" w:firstLineChars="0"/>
                    <w:jc w:val="center"/>
                    <w:rPr>
                      <w:color w:val="auto"/>
                      <w:sz w:val="21"/>
                      <w:szCs w:val="21"/>
                    </w:rPr>
                  </w:pPr>
                  <w:r>
                    <w:rPr>
                      <w:color w:val="auto"/>
                      <w:sz w:val="21"/>
                      <w:szCs w:val="21"/>
                    </w:rPr>
                    <w:t>SO</w:t>
                  </w:r>
                  <w:r>
                    <w:rPr>
                      <w:color w:val="auto"/>
                      <w:sz w:val="21"/>
                      <w:szCs w:val="21"/>
                      <w:vertAlign w:val="subscript"/>
                    </w:rPr>
                    <w:t>2</w:t>
                  </w:r>
                </w:p>
              </w:tc>
              <w:tc>
                <w:tcPr>
                  <w:tcW w:w="1279" w:type="pct"/>
                  <w:tcBorders>
                    <w:tl2br w:val="nil"/>
                    <w:tr2bl w:val="nil"/>
                  </w:tcBorders>
                  <w:vAlign w:val="center"/>
                </w:tcPr>
                <w:p>
                  <w:pPr>
                    <w:ind w:firstLine="0" w:firstLineChars="0"/>
                    <w:jc w:val="center"/>
                    <w:rPr>
                      <w:color w:val="auto"/>
                      <w:sz w:val="21"/>
                      <w:szCs w:val="21"/>
                    </w:rPr>
                  </w:pPr>
                  <w:r>
                    <w:rPr>
                      <w:color w:val="auto"/>
                      <w:sz w:val="21"/>
                      <w:szCs w:val="21"/>
                    </w:rPr>
                    <w:t>550</w:t>
                  </w:r>
                </w:p>
              </w:tc>
              <w:tc>
                <w:tcPr>
                  <w:tcW w:w="1283" w:type="pct"/>
                  <w:tcBorders>
                    <w:tl2br w:val="nil"/>
                    <w:tr2bl w:val="nil"/>
                  </w:tcBorders>
                  <w:vAlign w:val="center"/>
                </w:tcPr>
                <w:p>
                  <w:pPr>
                    <w:ind w:firstLine="0" w:firstLineChars="0"/>
                    <w:jc w:val="center"/>
                    <w:rPr>
                      <w:color w:val="auto"/>
                      <w:sz w:val="21"/>
                      <w:szCs w:val="21"/>
                    </w:rPr>
                  </w:pPr>
                  <w:r>
                    <w:rPr>
                      <w:color w:val="auto"/>
                      <w:sz w:val="21"/>
                      <w:szCs w:val="21"/>
                    </w:rPr>
                    <w:t>2.6</w:t>
                  </w:r>
                </w:p>
              </w:tc>
              <w:tc>
                <w:tcPr>
                  <w:tcW w:w="1608" w:type="pct"/>
                  <w:tcBorders>
                    <w:tl2br w:val="nil"/>
                    <w:tr2bl w:val="nil"/>
                  </w:tcBorders>
                  <w:vAlign w:val="center"/>
                </w:tcPr>
                <w:p>
                  <w:pPr>
                    <w:ind w:firstLine="0" w:firstLineChars="0"/>
                    <w:jc w:val="center"/>
                    <w:rPr>
                      <w:color w:val="auto"/>
                      <w:sz w:val="21"/>
                      <w:szCs w:val="21"/>
                    </w:rPr>
                  </w:pPr>
                  <w:r>
                    <w:rPr>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28" w:type="pct"/>
                  <w:tcBorders>
                    <w:tl2br w:val="nil"/>
                    <w:tr2bl w:val="nil"/>
                  </w:tcBorders>
                  <w:vAlign w:val="center"/>
                </w:tcPr>
                <w:p>
                  <w:pPr>
                    <w:ind w:firstLine="0" w:firstLineChars="0"/>
                    <w:jc w:val="center"/>
                    <w:rPr>
                      <w:color w:val="auto"/>
                      <w:sz w:val="21"/>
                      <w:szCs w:val="21"/>
                    </w:rPr>
                  </w:pPr>
                  <w:r>
                    <w:rPr>
                      <w:color w:val="auto"/>
                      <w:sz w:val="21"/>
                      <w:szCs w:val="21"/>
                    </w:rPr>
                    <w:t>NO</w:t>
                  </w:r>
                  <w:r>
                    <w:rPr>
                      <w:color w:val="auto"/>
                      <w:sz w:val="21"/>
                      <w:szCs w:val="21"/>
                      <w:vertAlign w:val="subscript"/>
                    </w:rPr>
                    <w:t>X</w:t>
                  </w:r>
                </w:p>
              </w:tc>
              <w:tc>
                <w:tcPr>
                  <w:tcW w:w="1279" w:type="pct"/>
                  <w:tcBorders>
                    <w:tl2br w:val="nil"/>
                    <w:tr2bl w:val="nil"/>
                  </w:tcBorders>
                  <w:vAlign w:val="center"/>
                </w:tcPr>
                <w:p>
                  <w:pPr>
                    <w:ind w:firstLine="0" w:firstLineChars="0"/>
                    <w:jc w:val="center"/>
                    <w:rPr>
                      <w:color w:val="auto"/>
                      <w:sz w:val="21"/>
                      <w:szCs w:val="21"/>
                    </w:rPr>
                  </w:pPr>
                  <w:r>
                    <w:rPr>
                      <w:color w:val="auto"/>
                      <w:sz w:val="21"/>
                      <w:szCs w:val="21"/>
                    </w:rPr>
                    <w:t>240</w:t>
                  </w:r>
                </w:p>
              </w:tc>
              <w:tc>
                <w:tcPr>
                  <w:tcW w:w="1283" w:type="pct"/>
                  <w:tcBorders>
                    <w:tl2br w:val="nil"/>
                    <w:tr2bl w:val="nil"/>
                  </w:tcBorders>
                  <w:vAlign w:val="center"/>
                </w:tcPr>
                <w:p>
                  <w:pPr>
                    <w:ind w:firstLine="0" w:firstLineChars="0"/>
                    <w:jc w:val="center"/>
                    <w:rPr>
                      <w:color w:val="auto"/>
                      <w:sz w:val="21"/>
                      <w:szCs w:val="21"/>
                    </w:rPr>
                  </w:pPr>
                  <w:r>
                    <w:rPr>
                      <w:color w:val="auto"/>
                      <w:sz w:val="21"/>
                      <w:szCs w:val="21"/>
                    </w:rPr>
                    <w:t>0.77</w:t>
                  </w:r>
                </w:p>
              </w:tc>
              <w:tc>
                <w:tcPr>
                  <w:tcW w:w="1608" w:type="pct"/>
                  <w:tcBorders>
                    <w:tl2br w:val="nil"/>
                    <w:tr2bl w:val="nil"/>
                  </w:tcBorders>
                  <w:vAlign w:val="center"/>
                </w:tcPr>
                <w:p>
                  <w:pPr>
                    <w:ind w:firstLine="0" w:firstLineChars="0"/>
                    <w:jc w:val="center"/>
                    <w:rPr>
                      <w:color w:val="auto"/>
                      <w:sz w:val="21"/>
                      <w:szCs w:val="21"/>
                    </w:rPr>
                  </w:pPr>
                  <w:r>
                    <w:rPr>
                      <w:color w:val="auto"/>
                      <w:sz w:val="21"/>
                      <w:szCs w:val="21"/>
                    </w:rPr>
                    <w:t>-</w:t>
                  </w:r>
                </w:p>
              </w:tc>
            </w:tr>
          </w:tbl>
          <w:p>
            <w:pPr>
              <w:snapToGrid w:val="0"/>
              <w:ind w:firstLine="480"/>
              <w:rPr>
                <w:color w:val="auto"/>
              </w:rPr>
            </w:pPr>
          </w:p>
          <w:p>
            <w:pPr>
              <w:wordWrap w:val="0"/>
              <w:topLinePunct/>
              <w:spacing w:before="120" w:beforeLines="50"/>
              <w:ind w:firstLine="480"/>
              <w:contextualSpacing/>
              <w:textAlignment w:val="center"/>
              <w:rPr>
                <w:bCs/>
                <w:color w:val="auto"/>
              </w:rPr>
            </w:pPr>
            <w:r>
              <w:rPr>
                <w:bCs/>
                <w:color w:val="auto"/>
              </w:rPr>
              <w:t>本项目营运期导热油炉排放的颗粒物、</w:t>
            </w:r>
            <w:r>
              <w:rPr>
                <w:color w:val="auto"/>
              </w:rPr>
              <w:t>氮氧化物</w:t>
            </w:r>
            <w:r>
              <w:rPr>
                <w:rFonts w:hint="eastAsia"/>
                <w:color w:val="auto"/>
              </w:rPr>
              <w:t>、</w:t>
            </w:r>
            <w:r>
              <w:rPr>
                <w:bCs/>
                <w:color w:val="auto"/>
              </w:rPr>
              <w:t>SO</w:t>
            </w:r>
            <w:r>
              <w:rPr>
                <w:bCs/>
                <w:color w:val="auto"/>
                <w:vertAlign w:val="subscript"/>
              </w:rPr>
              <w:t>2</w:t>
            </w:r>
            <w:r>
              <w:rPr>
                <w:bCs/>
                <w:color w:val="auto"/>
              </w:rPr>
              <w:t xml:space="preserve">执行《锅炉大气污染物排放标准》（GB 13271-2014）表 </w:t>
            </w:r>
            <w:r>
              <w:rPr>
                <w:rFonts w:hint="eastAsia"/>
                <w:bCs/>
                <w:color w:val="auto"/>
              </w:rPr>
              <w:t>2</w:t>
            </w:r>
            <w:r>
              <w:rPr>
                <w:bCs/>
                <w:color w:val="auto"/>
              </w:rPr>
              <w:t xml:space="preserve"> 燃</w:t>
            </w:r>
            <w:r>
              <w:rPr>
                <w:rFonts w:hint="eastAsia"/>
                <w:bCs/>
                <w:color w:val="auto"/>
              </w:rPr>
              <w:t>油</w:t>
            </w:r>
            <w:r>
              <w:rPr>
                <w:bCs/>
                <w:color w:val="auto"/>
              </w:rPr>
              <w:t>锅炉排放限值。</w:t>
            </w:r>
          </w:p>
          <w:p>
            <w:pPr>
              <w:pStyle w:val="12"/>
              <w:ind w:left="480" w:firstLine="2168" w:firstLineChars="900"/>
              <w:rPr>
                <w:rFonts w:hint="eastAsia" w:ascii="宋体" w:hAnsi="宋体" w:cs="宋体"/>
                <w:color w:val="auto"/>
              </w:rPr>
            </w:pPr>
            <w:r>
              <w:rPr>
                <w:rFonts w:hint="eastAsia" w:ascii="宋体" w:hAnsi="宋体" w:cs="宋体"/>
                <w:b/>
                <w:color w:val="auto"/>
                <w:szCs w:val="21"/>
              </w:rPr>
              <w:t xml:space="preserve">表3-5 锅炉大气污染物排放标准一览表   </w:t>
            </w:r>
          </w:p>
          <w:tbl>
            <w:tblPr>
              <w:tblStyle w:val="32"/>
              <w:tblW w:w="0" w:type="auto"/>
              <w:tblInd w:w="1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96"/>
              <w:gridCol w:w="1305"/>
              <w:gridCol w:w="1323"/>
              <w:gridCol w:w="1323"/>
              <w:gridCol w:w="1297"/>
              <w:gridCol w:w="130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06" w:type="dxa"/>
                  <w:tcBorders>
                    <w:tl2br w:val="nil"/>
                    <w:tr2bl w:val="nil"/>
                  </w:tcBorders>
                  <w:vAlign w:val="center"/>
                </w:tcPr>
                <w:p>
                  <w:pPr>
                    <w:ind w:firstLine="0" w:firstLineChars="0"/>
                    <w:jc w:val="center"/>
                    <w:rPr>
                      <w:b/>
                      <w:color w:val="auto"/>
                      <w:sz w:val="21"/>
                      <w:szCs w:val="21"/>
                    </w:rPr>
                  </w:pPr>
                  <w:r>
                    <w:rPr>
                      <w:color w:val="auto"/>
                      <w:sz w:val="21"/>
                      <w:szCs w:val="21"/>
                    </w:rPr>
                    <w:t>项 目</w:t>
                  </w:r>
                </w:p>
              </w:tc>
              <w:tc>
                <w:tcPr>
                  <w:tcW w:w="1306" w:type="dxa"/>
                  <w:tcBorders>
                    <w:tl2br w:val="nil"/>
                    <w:tr2bl w:val="nil"/>
                  </w:tcBorders>
                  <w:vAlign w:val="center"/>
                </w:tcPr>
                <w:p>
                  <w:pPr>
                    <w:ind w:firstLine="0" w:firstLineChars="0"/>
                    <w:jc w:val="center"/>
                    <w:rPr>
                      <w:b/>
                      <w:color w:val="auto"/>
                      <w:sz w:val="21"/>
                      <w:szCs w:val="21"/>
                    </w:rPr>
                  </w:pPr>
                  <w:r>
                    <w:rPr>
                      <w:color w:val="auto"/>
                      <w:sz w:val="21"/>
                      <w:szCs w:val="21"/>
                    </w:rPr>
                    <w:t>烟尘</w:t>
                  </w:r>
                </w:p>
              </w:tc>
              <w:tc>
                <w:tcPr>
                  <w:tcW w:w="1307" w:type="dxa"/>
                  <w:tcBorders>
                    <w:tl2br w:val="nil"/>
                    <w:tr2bl w:val="nil"/>
                  </w:tcBorders>
                  <w:vAlign w:val="center"/>
                </w:tcPr>
                <w:p>
                  <w:pPr>
                    <w:ind w:firstLine="0" w:firstLineChars="0"/>
                    <w:jc w:val="center"/>
                    <w:rPr>
                      <w:b/>
                      <w:color w:val="auto"/>
                      <w:sz w:val="21"/>
                      <w:szCs w:val="21"/>
                    </w:rPr>
                  </w:pPr>
                  <w:r>
                    <w:rPr>
                      <w:color w:val="auto"/>
                      <w:sz w:val="21"/>
                      <w:szCs w:val="21"/>
                    </w:rPr>
                    <w:t>SO</w:t>
                  </w:r>
                  <w:r>
                    <w:rPr>
                      <w:color w:val="auto"/>
                      <w:sz w:val="21"/>
                      <w:szCs w:val="21"/>
                      <w:vertAlign w:val="subscript"/>
                    </w:rPr>
                    <w:t>2</w:t>
                  </w:r>
                </w:p>
              </w:tc>
              <w:tc>
                <w:tcPr>
                  <w:tcW w:w="1307" w:type="dxa"/>
                  <w:tcBorders>
                    <w:tl2br w:val="nil"/>
                    <w:tr2bl w:val="nil"/>
                  </w:tcBorders>
                  <w:vAlign w:val="center"/>
                </w:tcPr>
                <w:p>
                  <w:pPr>
                    <w:ind w:firstLine="0" w:firstLineChars="0"/>
                    <w:jc w:val="center"/>
                    <w:rPr>
                      <w:b/>
                      <w:color w:val="auto"/>
                      <w:sz w:val="21"/>
                      <w:szCs w:val="21"/>
                    </w:rPr>
                  </w:pPr>
                  <w:r>
                    <w:rPr>
                      <w:color w:val="auto"/>
                      <w:sz w:val="21"/>
                      <w:szCs w:val="21"/>
                    </w:rPr>
                    <w:t>NO</w:t>
                  </w:r>
                  <w:r>
                    <w:rPr>
                      <w:color w:val="auto"/>
                      <w:sz w:val="21"/>
                      <w:szCs w:val="21"/>
                      <w:vertAlign w:val="subscript"/>
                    </w:rPr>
                    <w:t>X</w:t>
                  </w:r>
                  <w:r>
                    <w:rPr>
                      <w:color w:val="auto"/>
                      <w:sz w:val="21"/>
                      <w:szCs w:val="21"/>
                    </w:rPr>
                    <w:t xml:space="preserve"> </w:t>
                  </w:r>
                </w:p>
              </w:tc>
              <w:tc>
                <w:tcPr>
                  <w:tcW w:w="1307" w:type="dxa"/>
                  <w:tcBorders>
                    <w:tl2br w:val="nil"/>
                    <w:tr2bl w:val="nil"/>
                  </w:tcBorders>
                  <w:vAlign w:val="center"/>
                </w:tcPr>
                <w:p>
                  <w:pPr>
                    <w:ind w:firstLine="0" w:firstLineChars="0"/>
                    <w:jc w:val="center"/>
                    <w:rPr>
                      <w:b/>
                      <w:color w:val="auto"/>
                      <w:sz w:val="21"/>
                      <w:szCs w:val="21"/>
                    </w:rPr>
                  </w:pPr>
                  <w:r>
                    <w:rPr>
                      <w:color w:val="auto"/>
                      <w:sz w:val="21"/>
                      <w:szCs w:val="21"/>
                    </w:rPr>
                    <w:t>林格曼黑度</w:t>
                  </w:r>
                </w:p>
              </w:tc>
              <w:tc>
                <w:tcPr>
                  <w:tcW w:w="1307" w:type="dxa"/>
                  <w:tcBorders>
                    <w:tl2br w:val="nil"/>
                    <w:tr2bl w:val="nil"/>
                  </w:tcBorders>
                  <w:vAlign w:val="center"/>
                </w:tcPr>
                <w:p>
                  <w:pPr>
                    <w:ind w:firstLine="0" w:firstLineChars="0"/>
                    <w:jc w:val="center"/>
                    <w:rPr>
                      <w:color w:val="auto"/>
                      <w:sz w:val="21"/>
                      <w:szCs w:val="21"/>
                    </w:rPr>
                  </w:pPr>
                  <w:r>
                    <w:rPr>
                      <w:color w:val="auto"/>
                      <w:sz w:val="21"/>
                      <w:szCs w:val="21"/>
                    </w:rPr>
                    <w:t>排气筒高度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06" w:type="dxa"/>
                  <w:tcBorders>
                    <w:tl2br w:val="nil"/>
                    <w:tr2bl w:val="nil"/>
                  </w:tcBorders>
                  <w:vAlign w:val="center"/>
                </w:tcPr>
                <w:p>
                  <w:pPr>
                    <w:ind w:firstLine="0" w:firstLineChars="0"/>
                    <w:jc w:val="center"/>
                    <w:rPr>
                      <w:b/>
                      <w:color w:val="auto"/>
                      <w:sz w:val="21"/>
                      <w:szCs w:val="21"/>
                    </w:rPr>
                  </w:pPr>
                  <w:r>
                    <w:rPr>
                      <w:color w:val="auto"/>
                      <w:sz w:val="21"/>
                      <w:szCs w:val="21"/>
                    </w:rPr>
                    <w:t>标准值</w:t>
                  </w:r>
                </w:p>
              </w:tc>
              <w:tc>
                <w:tcPr>
                  <w:tcW w:w="1306" w:type="dxa"/>
                  <w:tcBorders>
                    <w:tl2br w:val="nil"/>
                    <w:tr2bl w:val="nil"/>
                  </w:tcBorders>
                  <w:vAlign w:val="center"/>
                </w:tcPr>
                <w:p>
                  <w:pPr>
                    <w:ind w:firstLine="0" w:firstLineChars="0"/>
                    <w:jc w:val="center"/>
                    <w:rPr>
                      <w:b/>
                      <w:color w:val="auto"/>
                      <w:sz w:val="21"/>
                      <w:szCs w:val="21"/>
                    </w:rPr>
                  </w:pPr>
                  <w:r>
                    <w:rPr>
                      <w:rFonts w:hint="eastAsia"/>
                      <w:color w:val="auto"/>
                      <w:sz w:val="21"/>
                      <w:szCs w:val="21"/>
                    </w:rPr>
                    <w:t>3</w:t>
                  </w:r>
                  <w:r>
                    <w:rPr>
                      <w:color w:val="auto"/>
                      <w:sz w:val="21"/>
                      <w:szCs w:val="21"/>
                    </w:rPr>
                    <w:t>0mg/m</w:t>
                  </w:r>
                  <w:r>
                    <w:rPr>
                      <w:color w:val="auto"/>
                      <w:sz w:val="21"/>
                      <w:szCs w:val="21"/>
                      <w:vertAlign w:val="superscript"/>
                    </w:rPr>
                    <w:t>3</w:t>
                  </w:r>
                </w:p>
              </w:tc>
              <w:tc>
                <w:tcPr>
                  <w:tcW w:w="1307" w:type="dxa"/>
                  <w:tcBorders>
                    <w:tl2br w:val="nil"/>
                    <w:tr2bl w:val="nil"/>
                  </w:tcBorders>
                  <w:vAlign w:val="center"/>
                </w:tcPr>
                <w:p>
                  <w:pPr>
                    <w:ind w:firstLine="0" w:firstLineChars="0"/>
                    <w:jc w:val="center"/>
                    <w:rPr>
                      <w:b/>
                      <w:color w:val="auto"/>
                      <w:sz w:val="21"/>
                      <w:szCs w:val="21"/>
                    </w:rPr>
                  </w:pPr>
                  <w:r>
                    <w:rPr>
                      <w:rFonts w:hint="eastAsia"/>
                      <w:color w:val="auto"/>
                      <w:sz w:val="21"/>
                      <w:szCs w:val="21"/>
                    </w:rPr>
                    <w:t>20</w:t>
                  </w:r>
                  <w:r>
                    <w:rPr>
                      <w:color w:val="auto"/>
                      <w:sz w:val="21"/>
                      <w:szCs w:val="21"/>
                    </w:rPr>
                    <w:t>0mg/m</w:t>
                  </w:r>
                  <w:r>
                    <w:rPr>
                      <w:color w:val="auto"/>
                      <w:sz w:val="21"/>
                      <w:szCs w:val="21"/>
                      <w:vertAlign w:val="superscript"/>
                    </w:rPr>
                    <w:t>3</w:t>
                  </w:r>
                </w:p>
              </w:tc>
              <w:tc>
                <w:tcPr>
                  <w:tcW w:w="1307" w:type="dxa"/>
                  <w:tcBorders>
                    <w:tl2br w:val="nil"/>
                    <w:tr2bl w:val="nil"/>
                  </w:tcBorders>
                  <w:vAlign w:val="center"/>
                </w:tcPr>
                <w:p>
                  <w:pPr>
                    <w:ind w:firstLine="0" w:firstLineChars="0"/>
                    <w:jc w:val="center"/>
                    <w:rPr>
                      <w:b/>
                      <w:color w:val="auto"/>
                      <w:sz w:val="21"/>
                      <w:szCs w:val="21"/>
                    </w:rPr>
                  </w:pPr>
                  <w:r>
                    <w:rPr>
                      <w:rFonts w:hint="eastAsia"/>
                      <w:color w:val="auto"/>
                      <w:sz w:val="21"/>
                      <w:szCs w:val="21"/>
                    </w:rPr>
                    <w:t>250</w:t>
                  </w:r>
                  <w:r>
                    <w:rPr>
                      <w:color w:val="auto"/>
                      <w:sz w:val="21"/>
                      <w:szCs w:val="21"/>
                    </w:rPr>
                    <w:t>mg/m</w:t>
                  </w:r>
                  <w:r>
                    <w:rPr>
                      <w:color w:val="auto"/>
                      <w:sz w:val="21"/>
                      <w:szCs w:val="21"/>
                      <w:vertAlign w:val="superscript"/>
                    </w:rPr>
                    <w:t>3</w:t>
                  </w:r>
                </w:p>
              </w:tc>
              <w:tc>
                <w:tcPr>
                  <w:tcW w:w="1307" w:type="dxa"/>
                  <w:tcBorders>
                    <w:tl2br w:val="nil"/>
                    <w:tr2bl w:val="nil"/>
                  </w:tcBorders>
                  <w:vAlign w:val="center"/>
                </w:tcPr>
                <w:p>
                  <w:pPr>
                    <w:ind w:firstLine="0" w:firstLineChars="0"/>
                    <w:jc w:val="center"/>
                    <w:rPr>
                      <w:b/>
                      <w:color w:val="auto"/>
                      <w:sz w:val="21"/>
                      <w:szCs w:val="21"/>
                    </w:rPr>
                  </w:pPr>
                  <w:r>
                    <w:rPr>
                      <w:rFonts w:hint="eastAsia"/>
                      <w:color w:val="auto"/>
                      <w:sz w:val="21"/>
                      <w:szCs w:val="21"/>
                    </w:rPr>
                    <w:t>1级</w:t>
                  </w:r>
                </w:p>
              </w:tc>
              <w:tc>
                <w:tcPr>
                  <w:tcW w:w="1307" w:type="dxa"/>
                  <w:tcBorders>
                    <w:tl2br w:val="nil"/>
                    <w:tr2bl w:val="nil"/>
                  </w:tcBorders>
                  <w:vAlign w:val="center"/>
                </w:tcPr>
                <w:p>
                  <w:pPr>
                    <w:ind w:firstLine="0" w:firstLineChars="0"/>
                    <w:jc w:val="center"/>
                    <w:rPr>
                      <w:color w:val="auto"/>
                      <w:sz w:val="21"/>
                      <w:szCs w:val="21"/>
                    </w:rPr>
                  </w:pPr>
                  <w:r>
                    <w:rPr>
                      <w:color w:val="auto"/>
                      <w:sz w:val="21"/>
                      <w:szCs w:val="21"/>
                    </w:rPr>
                    <w:t>15m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40" w:type="dxa"/>
                  <w:gridSpan w:val="6"/>
                  <w:tcBorders>
                    <w:tl2br w:val="nil"/>
                    <w:tr2bl w:val="nil"/>
                  </w:tcBorders>
                  <w:vAlign w:val="center"/>
                </w:tcPr>
                <w:p>
                  <w:pPr>
                    <w:ind w:firstLine="0" w:firstLineChars="0"/>
                    <w:rPr>
                      <w:color w:val="auto"/>
                      <w:sz w:val="21"/>
                      <w:szCs w:val="21"/>
                    </w:rPr>
                  </w:pPr>
                  <w:r>
                    <w:rPr>
                      <w:rFonts w:hint="eastAsia"/>
                      <w:color w:val="auto"/>
                      <w:sz w:val="21"/>
                      <w:szCs w:val="21"/>
                    </w:rPr>
                    <w:t>注：燃油、燃气锅炉烟囱不低于8 米，锅炉烟囱的具体高度按批复的环境影响评价文件确定。新建锅炉房的烟囱周围半径200m 距离内有建筑物时，其烟囱应高出最高建筑物3m以上，项目周边200m范围内最高的建筑物为12m，因此设置15m高的排气筒。</w:t>
                  </w:r>
                </w:p>
              </w:tc>
            </w:tr>
          </w:tbl>
          <w:p>
            <w:pPr>
              <w:pStyle w:val="12"/>
              <w:adjustRightInd w:val="0"/>
              <w:snapToGrid w:val="0"/>
              <w:spacing w:after="0"/>
              <w:ind w:left="0" w:leftChars="0" w:firstLine="480"/>
              <w:rPr>
                <w:color w:val="auto"/>
              </w:rPr>
            </w:pPr>
          </w:p>
          <w:p>
            <w:pPr>
              <w:pStyle w:val="12"/>
              <w:adjustRightInd w:val="0"/>
              <w:snapToGrid w:val="0"/>
              <w:spacing w:after="0"/>
              <w:ind w:left="0" w:leftChars="0" w:firstLine="480"/>
              <w:rPr>
                <w:color w:val="auto"/>
              </w:rPr>
            </w:pPr>
            <w:r>
              <w:rPr>
                <w:rFonts w:hint="eastAsia"/>
                <w:color w:val="auto"/>
              </w:rPr>
              <w:t>食堂油烟：</w:t>
            </w:r>
            <w:r>
              <w:rPr>
                <w:color w:val="auto"/>
              </w:rPr>
              <w:t>项目食堂内设置基准灶头数</w:t>
            </w:r>
            <w:r>
              <w:rPr>
                <w:rFonts w:hint="eastAsia"/>
                <w:color w:val="auto"/>
              </w:rPr>
              <w:t>3</w:t>
            </w:r>
            <w:r>
              <w:rPr>
                <w:color w:val="auto"/>
              </w:rPr>
              <w:t>个，其油烟排放执行《饮食业油烟排放标准（试行）》（GB18483-2001）中最高允许排放浓度，即油烟≤</w:t>
            </w:r>
            <w:r>
              <w:rPr>
                <w:rFonts w:hint="eastAsia"/>
                <w:color w:val="auto"/>
              </w:rPr>
              <w:t>2</w:t>
            </w:r>
            <w:r>
              <w:rPr>
                <w:color w:val="auto"/>
              </w:rPr>
              <w:t>.0mg/m</w:t>
            </w:r>
            <w:r>
              <w:rPr>
                <w:color w:val="auto"/>
                <w:vertAlign w:val="superscript"/>
              </w:rPr>
              <w:t>3</w:t>
            </w:r>
            <w:r>
              <w:rPr>
                <w:rFonts w:hint="eastAsia"/>
                <w:color w:val="auto"/>
              </w:rPr>
              <w:t>，净化效率不低于60%。</w:t>
            </w:r>
          </w:p>
          <w:p>
            <w:pPr>
              <w:ind w:firstLine="480"/>
              <w:rPr>
                <w:color w:val="auto"/>
              </w:rPr>
            </w:pPr>
            <w:r>
              <w:rPr>
                <w:rFonts w:hint="eastAsia"/>
                <w:color w:val="auto"/>
              </w:rPr>
              <w:t>商品混凝土生产产生的粉尘</w:t>
            </w:r>
            <w:r>
              <w:rPr>
                <w:color w:val="auto"/>
              </w:rPr>
              <w:t>执行《水泥工业大气污染物排放标准》（GB4915-2013）表3大气污染物无组织排放限值</w:t>
            </w:r>
            <w:r>
              <w:rPr>
                <w:rFonts w:hint="eastAsia"/>
                <w:color w:val="auto"/>
              </w:rPr>
              <w:t>。</w:t>
            </w:r>
          </w:p>
          <w:p>
            <w:pPr>
              <w:ind w:firstLine="482"/>
              <w:jc w:val="center"/>
              <w:rPr>
                <w:b/>
                <w:bCs/>
                <w:color w:val="auto"/>
                <w:szCs w:val="21"/>
              </w:rPr>
            </w:pPr>
            <w:r>
              <w:rPr>
                <w:rFonts w:hint="eastAsia" w:ascii="宋体" w:hAnsi="宋体" w:cs="宋体"/>
                <w:b/>
                <w:color w:val="auto"/>
                <w:szCs w:val="21"/>
              </w:rPr>
              <w:t>表3-6</w:t>
            </w:r>
            <w:r>
              <w:rPr>
                <w:b/>
                <w:bCs/>
                <w:color w:val="auto"/>
                <w:szCs w:val="21"/>
              </w:rPr>
              <w:t>《水泥工业大气污染物排放标准》</w:t>
            </w:r>
            <w:r>
              <w:rPr>
                <w:rFonts w:hint="eastAsia"/>
                <w:b/>
                <w:bCs/>
                <w:color w:val="auto"/>
                <w:szCs w:val="21"/>
              </w:rPr>
              <w:t>表3</w:t>
            </w:r>
          </w:p>
          <w:tbl>
            <w:tblPr>
              <w:tblStyle w:val="3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88"/>
              <w:gridCol w:w="4745"/>
              <w:gridCol w:w="13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9" w:type="pct"/>
                  <w:tcBorders>
                    <w:tl2br w:val="nil"/>
                    <w:tr2bl w:val="nil"/>
                  </w:tcBorders>
                  <w:noWrap/>
                  <w:vAlign w:val="center"/>
                </w:tcPr>
                <w:p>
                  <w:pPr>
                    <w:autoSpaceDE w:val="0"/>
                    <w:autoSpaceDN w:val="0"/>
                    <w:ind w:firstLine="0" w:firstLineChars="0"/>
                    <w:jc w:val="center"/>
                    <w:rPr>
                      <w:b/>
                      <w:bCs/>
                      <w:color w:val="auto"/>
                      <w:sz w:val="21"/>
                      <w:szCs w:val="21"/>
                    </w:rPr>
                  </w:pPr>
                  <w:r>
                    <w:rPr>
                      <w:b/>
                      <w:bCs/>
                      <w:color w:val="auto"/>
                      <w:sz w:val="21"/>
                      <w:szCs w:val="21"/>
                    </w:rPr>
                    <w:t>污染物</w:t>
                  </w:r>
                </w:p>
              </w:tc>
              <w:tc>
                <w:tcPr>
                  <w:tcW w:w="2973" w:type="pct"/>
                  <w:tcBorders>
                    <w:tl2br w:val="nil"/>
                    <w:tr2bl w:val="nil"/>
                  </w:tcBorders>
                  <w:noWrap/>
                  <w:vAlign w:val="center"/>
                </w:tcPr>
                <w:p>
                  <w:pPr>
                    <w:autoSpaceDE w:val="0"/>
                    <w:autoSpaceDN w:val="0"/>
                    <w:ind w:firstLine="0" w:firstLineChars="0"/>
                    <w:jc w:val="center"/>
                    <w:rPr>
                      <w:b/>
                      <w:bCs/>
                      <w:color w:val="auto"/>
                      <w:sz w:val="21"/>
                      <w:szCs w:val="21"/>
                    </w:rPr>
                  </w:pPr>
                  <w:r>
                    <w:rPr>
                      <w:rFonts w:hint="eastAsia"/>
                      <w:b/>
                      <w:bCs/>
                      <w:color w:val="auto"/>
                      <w:sz w:val="21"/>
                      <w:szCs w:val="21"/>
                    </w:rPr>
                    <w:t>无组织排放监控位置</w:t>
                  </w:r>
                </w:p>
              </w:tc>
              <w:tc>
                <w:tcPr>
                  <w:tcW w:w="917" w:type="pct"/>
                  <w:tcBorders>
                    <w:tl2br w:val="nil"/>
                    <w:tr2bl w:val="nil"/>
                  </w:tcBorders>
                  <w:noWrap/>
                  <w:vAlign w:val="center"/>
                </w:tcPr>
                <w:p>
                  <w:pPr>
                    <w:autoSpaceDE w:val="0"/>
                    <w:autoSpaceDN w:val="0"/>
                    <w:ind w:firstLine="0" w:firstLineChars="0"/>
                    <w:jc w:val="center"/>
                    <w:rPr>
                      <w:b/>
                      <w:bCs/>
                      <w:color w:val="auto"/>
                      <w:sz w:val="21"/>
                      <w:szCs w:val="21"/>
                    </w:rPr>
                  </w:pPr>
                  <w:r>
                    <w:rPr>
                      <w:rFonts w:hint="eastAsia"/>
                      <w:b/>
                      <w:bCs/>
                      <w:color w:val="auto"/>
                      <w:sz w:val="21"/>
                      <w:szCs w:val="21"/>
                    </w:rPr>
                    <w:t>排放</w:t>
                  </w:r>
                  <w:r>
                    <w:rPr>
                      <w:b/>
                      <w:bCs/>
                      <w:color w:val="auto"/>
                      <w:sz w:val="21"/>
                      <w:szCs w:val="21"/>
                    </w:rPr>
                    <w:t>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9" w:type="pct"/>
                  <w:tcBorders>
                    <w:tl2br w:val="nil"/>
                    <w:tr2bl w:val="nil"/>
                  </w:tcBorders>
                  <w:noWrap/>
                  <w:vAlign w:val="center"/>
                </w:tcPr>
                <w:p>
                  <w:pPr>
                    <w:widowControl/>
                    <w:ind w:firstLine="0" w:firstLineChars="0"/>
                    <w:jc w:val="center"/>
                    <w:rPr>
                      <w:bCs/>
                      <w:color w:val="auto"/>
                      <w:sz w:val="21"/>
                      <w:szCs w:val="21"/>
                    </w:rPr>
                  </w:pPr>
                  <w:r>
                    <w:rPr>
                      <w:bCs/>
                      <w:color w:val="auto"/>
                      <w:sz w:val="21"/>
                      <w:szCs w:val="21"/>
                    </w:rPr>
                    <w:t>颗粒物</w:t>
                  </w:r>
                </w:p>
              </w:tc>
              <w:tc>
                <w:tcPr>
                  <w:tcW w:w="2973" w:type="pct"/>
                  <w:tcBorders>
                    <w:tl2br w:val="nil"/>
                    <w:tr2bl w:val="nil"/>
                  </w:tcBorders>
                  <w:noWrap/>
                  <w:vAlign w:val="center"/>
                </w:tcPr>
                <w:p>
                  <w:pPr>
                    <w:autoSpaceDE w:val="0"/>
                    <w:autoSpaceDN w:val="0"/>
                    <w:ind w:firstLine="0" w:firstLineChars="0"/>
                    <w:jc w:val="center"/>
                    <w:rPr>
                      <w:bCs/>
                      <w:color w:val="auto"/>
                      <w:sz w:val="21"/>
                      <w:szCs w:val="21"/>
                    </w:rPr>
                  </w:pPr>
                  <w:r>
                    <w:rPr>
                      <w:bCs/>
                      <w:color w:val="auto"/>
                      <w:sz w:val="21"/>
                      <w:szCs w:val="21"/>
                    </w:rPr>
                    <w:t>厂界外20 m处上风向设参照点，下风向设监控点</w:t>
                  </w:r>
                </w:p>
              </w:tc>
              <w:tc>
                <w:tcPr>
                  <w:tcW w:w="917" w:type="pct"/>
                  <w:tcBorders>
                    <w:tl2br w:val="nil"/>
                    <w:tr2bl w:val="nil"/>
                  </w:tcBorders>
                  <w:noWrap/>
                  <w:vAlign w:val="center"/>
                </w:tcPr>
                <w:p>
                  <w:pPr>
                    <w:autoSpaceDE w:val="0"/>
                    <w:autoSpaceDN w:val="0"/>
                    <w:ind w:firstLine="0" w:firstLineChars="0"/>
                    <w:jc w:val="center"/>
                    <w:rPr>
                      <w:bCs/>
                      <w:color w:val="auto"/>
                      <w:sz w:val="21"/>
                      <w:szCs w:val="21"/>
                    </w:rPr>
                  </w:pPr>
                  <w:r>
                    <w:rPr>
                      <w:rFonts w:hint="eastAsia"/>
                      <w:color w:val="auto"/>
                      <w:sz w:val="21"/>
                      <w:szCs w:val="21"/>
                    </w:rPr>
                    <w:t xml:space="preserve">0.5 </w:t>
                  </w:r>
                  <w:r>
                    <w:rPr>
                      <w:bCs/>
                      <w:color w:val="auto"/>
                      <w:sz w:val="21"/>
                      <w:szCs w:val="21"/>
                    </w:rPr>
                    <w:t>mg/m</w:t>
                  </w:r>
                  <w:r>
                    <w:rPr>
                      <w:bCs/>
                      <w:color w:val="auto"/>
                      <w:sz w:val="21"/>
                      <w:szCs w:val="21"/>
                      <w:vertAlign w:val="superscript"/>
                    </w:rPr>
                    <w:t>3</w:t>
                  </w:r>
                </w:p>
              </w:tc>
            </w:tr>
          </w:tbl>
          <w:p>
            <w:pPr>
              <w:pStyle w:val="40"/>
              <w:ind w:firstLine="480"/>
              <w:rPr>
                <w:rFonts w:hint="eastAsia"/>
                <w:color w:val="auto"/>
              </w:rPr>
            </w:pPr>
          </w:p>
          <w:p>
            <w:pPr>
              <w:pStyle w:val="5"/>
              <w:ind w:firstLine="210"/>
              <w:rPr>
                <w:color w:val="auto"/>
              </w:rPr>
            </w:pPr>
            <w:r>
              <w:rPr>
                <w:rFonts w:hint="eastAsia"/>
                <w:color w:val="auto"/>
              </w:rPr>
              <w:t>2</w:t>
            </w:r>
            <w:r>
              <w:rPr>
                <w:color w:val="auto"/>
              </w:rPr>
              <w:t>噪声</w:t>
            </w:r>
          </w:p>
          <w:p>
            <w:pPr>
              <w:ind w:firstLine="480"/>
              <w:rPr>
                <w:color w:val="auto"/>
              </w:rPr>
            </w:pPr>
            <w:r>
              <w:rPr>
                <w:color w:val="auto"/>
              </w:rPr>
              <w:t>项目在建筑施工阶段噪声排放执行《建筑施工场界环境噪声排放标准》（GB12523-2011）表1的排放限</w:t>
            </w:r>
            <w:r>
              <w:rPr>
                <w:rFonts w:hint="eastAsia"/>
                <w:color w:val="auto"/>
              </w:rPr>
              <w:t>值</w:t>
            </w:r>
            <w:r>
              <w:rPr>
                <w:color w:val="auto"/>
              </w:rPr>
              <w:t>，详见表</w:t>
            </w:r>
            <w:r>
              <w:rPr>
                <w:rFonts w:hint="eastAsia"/>
                <w:color w:val="auto"/>
              </w:rPr>
              <w:t>3-8</w:t>
            </w:r>
            <w:r>
              <w:rPr>
                <w:color w:val="auto"/>
              </w:rPr>
              <w:t>。</w:t>
            </w:r>
          </w:p>
          <w:p>
            <w:pPr>
              <w:pStyle w:val="55"/>
              <w:widowControl/>
              <w:rPr>
                <w:color w:val="auto"/>
              </w:rPr>
            </w:pPr>
            <w:r>
              <w:rPr>
                <w:color w:val="auto"/>
              </w:rPr>
              <w:t>表</w:t>
            </w:r>
            <w:r>
              <w:rPr>
                <w:rFonts w:hint="eastAsia"/>
                <w:color w:val="auto"/>
              </w:rPr>
              <w:t xml:space="preserve">3-8 </w:t>
            </w:r>
            <w:r>
              <w:rPr>
                <w:color w:val="auto"/>
              </w:rPr>
              <w:t>建筑施工场界环境噪声排放标准单位：dB(A)</w:t>
            </w:r>
          </w:p>
          <w:tbl>
            <w:tblPr>
              <w:tblStyle w:val="3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2"/>
              <w:gridCol w:w="2612"/>
              <w:gridCol w:w="2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666" w:type="pct"/>
                  <w:vMerge w:val="restart"/>
                  <w:vAlign w:val="center"/>
                </w:tcPr>
                <w:p>
                  <w:pPr>
                    <w:pStyle w:val="54"/>
                    <w:widowControl/>
                    <w:rPr>
                      <w:color w:val="auto"/>
                    </w:rPr>
                  </w:pPr>
                  <w:r>
                    <w:rPr>
                      <w:rFonts w:hint="eastAsia" w:eastAsia="Times New Roman"/>
                      <w:color w:val="auto"/>
                    </w:rPr>
                    <w:t>标准</w:t>
                  </w:r>
                </w:p>
              </w:tc>
              <w:tc>
                <w:tcPr>
                  <w:tcW w:w="1666" w:type="pct"/>
                  <w:vAlign w:val="center"/>
                </w:tcPr>
                <w:p>
                  <w:pPr>
                    <w:pStyle w:val="54"/>
                    <w:widowControl/>
                    <w:rPr>
                      <w:color w:val="auto"/>
                    </w:rPr>
                  </w:pPr>
                  <w:r>
                    <w:rPr>
                      <w:rFonts w:eastAsia="Times New Roman"/>
                      <w:color w:val="auto"/>
                    </w:rPr>
                    <w:t>昼间</w:t>
                  </w:r>
                </w:p>
              </w:tc>
              <w:tc>
                <w:tcPr>
                  <w:tcW w:w="1667" w:type="pct"/>
                  <w:vAlign w:val="center"/>
                </w:tcPr>
                <w:p>
                  <w:pPr>
                    <w:pStyle w:val="54"/>
                    <w:widowControl/>
                    <w:rPr>
                      <w:rFonts w:eastAsia="Times New Roman"/>
                      <w:color w:val="auto"/>
                    </w:rPr>
                  </w:pPr>
                  <w:r>
                    <w:rPr>
                      <w:rFonts w:eastAsia="Times New Roman"/>
                      <w:color w:val="auto"/>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666" w:type="pct"/>
                  <w:vMerge w:val="continue"/>
                  <w:vAlign w:val="center"/>
                </w:tcPr>
                <w:p>
                  <w:pPr>
                    <w:pStyle w:val="54"/>
                    <w:widowControl/>
                    <w:rPr>
                      <w:rFonts w:eastAsia="Times New Roman"/>
                      <w:color w:val="auto"/>
                    </w:rPr>
                  </w:pPr>
                </w:p>
              </w:tc>
              <w:tc>
                <w:tcPr>
                  <w:tcW w:w="1666" w:type="pct"/>
                  <w:vAlign w:val="center"/>
                </w:tcPr>
                <w:p>
                  <w:pPr>
                    <w:pStyle w:val="54"/>
                    <w:widowControl/>
                    <w:rPr>
                      <w:color w:val="auto"/>
                    </w:rPr>
                  </w:pPr>
                  <w:r>
                    <w:rPr>
                      <w:rFonts w:eastAsia="Times New Roman"/>
                      <w:color w:val="auto"/>
                    </w:rPr>
                    <w:t>70</w:t>
                  </w:r>
                </w:p>
              </w:tc>
              <w:tc>
                <w:tcPr>
                  <w:tcW w:w="1667" w:type="pct"/>
                  <w:vAlign w:val="center"/>
                </w:tcPr>
                <w:p>
                  <w:pPr>
                    <w:pStyle w:val="54"/>
                    <w:widowControl/>
                    <w:rPr>
                      <w:rFonts w:eastAsia="Times New Roman"/>
                      <w:color w:val="auto"/>
                    </w:rPr>
                  </w:pPr>
                  <w:r>
                    <w:rPr>
                      <w:rFonts w:eastAsia="Times New Roman"/>
                      <w:color w:val="auto"/>
                    </w:rPr>
                    <w:t>55</w:t>
                  </w:r>
                </w:p>
              </w:tc>
            </w:tr>
          </w:tbl>
          <w:p>
            <w:pPr>
              <w:ind w:firstLine="480"/>
              <w:rPr>
                <w:color w:val="auto"/>
              </w:rPr>
            </w:pPr>
          </w:p>
          <w:p>
            <w:pPr>
              <w:ind w:firstLine="480"/>
              <w:rPr>
                <w:color w:val="auto"/>
              </w:rPr>
            </w:pPr>
            <w:r>
              <w:rPr>
                <w:rFonts w:hint="eastAsia"/>
                <w:color w:val="auto"/>
                <w:kern w:val="0"/>
              </w:rPr>
              <w:t>根据</w:t>
            </w:r>
            <w:r>
              <w:rPr>
                <w:color w:val="auto"/>
                <w:kern w:val="0"/>
              </w:rPr>
              <w:t>《同德县省级扶贫产业园总体规划</w:t>
            </w:r>
            <w:r>
              <w:rPr>
                <w:rFonts w:hint="eastAsia"/>
                <w:color w:val="auto"/>
                <w:kern w:val="0"/>
              </w:rPr>
              <w:t>（2014-2030）</w:t>
            </w:r>
            <w:r>
              <w:rPr>
                <w:color w:val="auto"/>
              </w:rPr>
              <w:t>环境影响报告书</w:t>
            </w:r>
            <w:r>
              <w:rPr>
                <w:color w:val="auto"/>
                <w:kern w:val="0"/>
              </w:rPr>
              <w:t>》</w:t>
            </w:r>
            <w:r>
              <w:rPr>
                <w:rFonts w:hint="eastAsia"/>
                <w:color w:val="auto"/>
                <w:kern w:val="0"/>
              </w:rPr>
              <w:t>，</w:t>
            </w:r>
            <w:r>
              <w:rPr>
                <w:color w:val="auto"/>
              </w:rPr>
              <w:t>运营期噪声执行《工业企业厂界环境噪声排放标准》（GB12348-2008）中的</w:t>
            </w:r>
            <w:r>
              <w:rPr>
                <w:rFonts w:hint="eastAsia"/>
                <w:color w:val="auto"/>
              </w:rPr>
              <w:t>3</w:t>
            </w:r>
            <w:r>
              <w:rPr>
                <w:color w:val="auto"/>
              </w:rPr>
              <w:t>类功能区限值，具体详见表</w:t>
            </w:r>
            <w:r>
              <w:rPr>
                <w:rFonts w:hint="eastAsia"/>
                <w:color w:val="auto"/>
              </w:rPr>
              <w:t>3-9。</w:t>
            </w:r>
          </w:p>
          <w:p>
            <w:pPr>
              <w:ind w:firstLine="480"/>
              <w:rPr>
                <w:color w:val="auto"/>
              </w:rPr>
            </w:pPr>
          </w:p>
          <w:p>
            <w:pPr>
              <w:pStyle w:val="55"/>
              <w:widowControl/>
              <w:rPr>
                <w:color w:val="auto"/>
              </w:rPr>
            </w:pPr>
            <w:r>
              <w:rPr>
                <w:color w:val="auto"/>
              </w:rPr>
              <w:t>表</w:t>
            </w:r>
            <w:r>
              <w:rPr>
                <w:rFonts w:hint="eastAsia"/>
                <w:color w:val="auto"/>
              </w:rPr>
              <w:t>3-9</w:t>
            </w:r>
            <w:r>
              <w:rPr>
                <w:color w:val="auto"/>
              </w:rPr>
              <w:t>工业企业厂界环境噪声排放标准</w:t>
            </w:r>
            <w:r>
              <w:rPr>
                <w:rFonts w:hint="eastAsia"/>
                <w:color w:val="auto"/>
              </w:rPr>
              <w:t>限值</w:t>
            </w:r>
          </w:p>
          <w:tbl>
            <w:tblPr>
              <w:tblStyle w:val="3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9"/>
              <w:gridCol w:w="2303"/>
              <w:gridCol w:w="2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08" w:type="pct"/>
                  <w:vAlign w:val="center"/>
                </w:tcPr>
                <w:p>
                  <w:pPr>
                    <w:pStyle w:val="54"/>
                    <w:widowControl/>
                    <w:rPr>
                      <w:rFonts w:eastAsia="Times New Roman"/>
                      <w:color w:val="auto"/>
                    </w:rPr>
                  </w:pPr>
                  <w:r>
                    <w:rPr>
                      <w:rFonts w:eastAsia="Times New Roman"/>
                      <w:color w:val="auto"/>
                    </w:rPr>
                    <w:t>标准</w:t>
                  </w:r>
                </w:p>
              </w:tc>
              <w:tc>
                <w:tcPr>
                  <w:tcW w:w="3291" w:type="pct"/>
                  <w:gridSpan w:val="2"/>
                  <w:vAlign w:val="center"/>
                </w:tcPr>
                <w:p>
                  <w:pPr>
                    <w:pStyle w:val="54"/>
                    <w:widowControl/>
                    <w:rPr>
                      <w:rFonts w:eastAsia="Times New Roman"/>
                      <w:color w:val="auto"/>
                    </w:rPr>
                  </w:pPr>
                  <w:r>
                    <w:rPr>
                      <w:rFonts w:eastAsia="Times New Roman"/>
                      <w:color w:val="auto"/>
                    </w:rPr>
                    <w:t>噪声限值(单位：dB(A))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08" w:type="pct"/>
                  <w:vMerge w:val="restart"/>
                  <w:vAlign w:val="center"/>
                </w:tcPr>
                <w:p>
                  <w:pPr>
                    <w:pStyle w:val="54"/>
                    <w:widowControl/>
                    <w:rPr>
                      <w:rFonts w:eastAsia="Times New Roman"/>
                      <w:color w:val="auto"/>
                    </w:rPr>
                  </w:pPr>
                  <w:r>
                    <w:rPr>
                      <w:rFonts w:hint="eastAsia" w:eastAsia="Times New Roman"/>
                      <w:color w:val="auto"/>
                    </w:rPr>
                    <w:t>3</w:t>
                  </w:r>
                  <w:r>
                    <w:rPr>
                      <w:rFonts w:eastAsia="Times New Roman"/>
                      <w:color w:val="auto"/>
                    </w:rPr>
                    <w:t>类</w:t>
                  </w:r>
                </w:p>
              </w:tc>
              <w:tc>
                <w:tcPr>
                  <w:tcW w:w="1468" w:type="pct"/>
                  <w:vAlign w:val="center"/>
                </w:tcPr>
                <w:p>
                  <w:pPr>
                    <w:pStyle w:val="54"/>
                    <w:widowControl/>
                    <w:rPr>
                      <w:rFonts w:eastAsia="Times New Roman"/>
                      <w:color w:val="auto"/>
                    </w:rPr>
                  </w:pPr>
                  <w:r>
                    <w:rPr>
                      <w:rFonts w:eastAsia="Times New Roman"/>
                      <w:color w:val="auto"/>
                    </w:rPr>
                    <w:t>昼间</w:t>
                  </w:r>
                </w:p>
              </w:tc>
              <w:tc>
                <w:tcPr>
                  <w:tcW w:w="1823" w:type="pct"/>
                  <w:vAlign w:val="center"/>
                </w:tcPr>
                <w:p>
                  <w:pPr>
                    <w:pStyle w:val="54"/>
                    <w:widowControl/>
                    <w:rPr>
                      <w:rFonts w:eastAsia="Times New Roman"/>
                      <w:color w:val="auto"/>
                    </w:rPr>
                  </w:pPr>
                  <w:r>
                    <w:rPr>
                      <w:rFonts w:eastAsia="Times New Roman"/>
                      <w:color w:val="auto"/>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08" w:type="pct"/>
                  <w:vMerge w:val="continue"/>
                  <w:vAlign w:val="center"/>
                </w:tcPr>
                <w:p>
                  <w:pPr>
                    <w:pStyle w:val="54"/>
                    <w:widowControl/>
                    <w:rPr>
                      <w:rFonts w:eastAsia="Times New Roman"/>
                      <w:color w:val="auto"/>
                    </w:rPr>
                  </w:pPr>
                </w:p>
              </w:tc>
              <w:tc>
                <w:tcPr>
                  <w:tcW w:w="1468" w:type="pct"/>
                  <w:vAlign w:val="center"/>
                </w:tcPr>
                <w:p>
                  <w:pPr>
                    <w:pStyle w:val="54"/>
                    <w:widowControl/>
                    <w:rPr>
                      <w:rFonts w:eastAsia="Times New Roman"/>
                      <w:color w:val="auto"/>
                    </w:rPr>
                  </w:pPr>
                  <w:r>
                    <w:rPr>
                      <w:rFonts w:hint="eastAsia" w:eastAsia="Times New Roman"/>
                      <w:color w:val="auto"/>
                    </w:rPr>
                    <w:t>65</w:t>
                  </w:r>
                </w:p>
              </w:tc>
              <w:tc>
                <w:tcPr>
                  <w:tcW w:w="1823" w:type="pct"/>
                  <w:vAlign w:val="center"/>
                </w:tcPr>
                <w:p>
                  <w:pPr>
                    <w:pStyle w:val="54"/>
                    <w:widowControl/>
                    <w:rPr>
                      <w:rFonts w:eastAsia="Times New Roman"/>
                      <w:color w:val="auto"/>
                    </w:rPr>
                  </w:pPr>
                  <w:r>
                    <w:rPr>
                      <w:rFonts w:hint="eastAsia" w:eastAsia="Times New Roman"/>
                      <w:color w:val="auto"/>
                    </w:rPr>
                    <w:t>55</w:t>
                  </w:r>
                </w:p>
              </w:tc>
            </w:tr>
          </w:tbl>
          <w:p>
            <w:pPr>
              <w:pStyle w:val="5"/>
              <w:ind w:firstLine="281"/>
              <w:rPr>
                <w:color w:val="auto"/>
              </w:rPr>
            </w:pPr>
            <w:r>
              <w:rPr>
                <w:rFonts w:hint="eastAsia"/>
                <w:color w:val="auto"/>
              </w:rPr>
              <w:t>3废水</w:t>
            </w:r>
          </w:p>
          <w:p>
            <w:pPr>
              <w:ind w:firstLine="480"/>
              <w:rPr>
                <w:color w:val="auto"/>
              </w:rPr>
            </w:pPr>
            <w:r>
              <w:rPr>
                <w:rFonts w:hint="eastAsia"/>
                <w:color w:val="auto"/>
              </w:rPr>
              <w:t>项目运行后，清洗废水经过处理后全部回用。</w:t>
            </w:r>
            <w:r>
              <w:rPr>
                <w:rFonts w:hint="eastAsia" w:ascii="宋体" w:hAnsi="宋体" w:cs="宋体"/>
                <w:color w:val="auto"/>
              </w:rPr>
              <w:t>生活污水经化粪池处理后排入园区污水管网，生活污水排放执行</w:t>
            </w:r>
            <w:r>
              <w:rPr>
                <w:color w:val="auto"/>
              </w:rPr>
              <w:t>《污水排入城镇下水道水质标准》（</w:t>
            </w:r>
            <w:r>
              <w:rPr>
                <w:rFonts w:hint="eastAsia"/>
                <w:color w:val="auto"/>
              </w:rPr>
              <w:t>G</w:t>
            </w:r>
            <w:r>
              <w:rPr>
                <w:color w:val="auto"/>
              </w:rPr>
              <w:t>B/T31962-2015</w:t>
            </w:r>
            <w:r>
              <w:rPr>
                <w:rFonts w:hint="eastAsia"/>
                <w:color w:val="auto"/>
              </w:rPr>
              <w:t>）</w:t>
            </w:r>
            <w:r>
              <w:rPr>
                <w:color w:val="auto"/>
              </w:rPr>
              <w:t>中的</w:t>
            </w:r>
            <w:r>
              <w:rPr>
                <w:rFonts w:hint="eastAsia"/>
                <w:color w:val="auto"/>
              </w:rPr>
              <w:t>B级标准后，排入园区污水管网。</w:t>
            </w:r>
            <w:r>
              <w:rPr>
                <w:color w:val="auto"/>
              </w:rPr>
              <w:t>具体取值见下表</w:t>
            </w:r>
            <w:r>
              <w:rPr>
                <w:rFonts w:hint="eastAsia"/>
                <w:color w:val="auto"/>
              </w:rPr>
              <w:t>3-9</w:t>
            </w:r>
            <w:r>
              <w:rPr>
                <w:color w:val="auto"/>
              </w:rPr>
              <w:t>。</w:t>
            </w:r>
          </w:p>
          <w:p>
            <w:pPr>
              <w:pStyle w:val="55"/>
              <w:widowControl/>
              <w:rPr>
                <w:color w:val="auto"/>
              </w:rPr>
            </w:pPr>
            <w:r>
              <w:rPr>
                <w:color w:val="auto"/>
              </w:rPr>
              <w:t>表</w:t>
            </w:r>
            <w:r>
              <w:rPr>
                <w:rFonts w:hint="eastAsia"/>
                <w:color w:val="auto"/>
              </w:rPr>
              <w:t xml:space="preserve">3-9  </w:t>
            </w:r>
            <w:r>
              <w:rPr>
                <w:color w:val="auto"/>
              </w:rPr>
              <w:t>项目污水排放标准限值</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1"/>
              <w:gridCol w:w="1961"/>
              <w:gridCol w:w="1961"/>
              <w:gridCol w:w="1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250" w:type="pct"/>
                  <w:vAlign w:val="center"/>
                </w:tcPr>
                <w:p>
                  <w:pPr>
                    <w:pStyle w:val="54"/>
                    <w:rPr>
                      <w:color w:val="auto"/>
                    </w:rPr>
                  </w:pPr>
                  <w:r>
                    <w:rPr>
                      <w:rFonts w:hint="eastAsia"/>
                      <w:color w:val="auto"/>
                    </w:rPr>
                    <w:t>序号</w:t>
                  </w:r>
                </w:p>
              </w:tc>
              <w:tc>
                <w:tcPr>
                  <w:tcW w:w="1250" w:type="pct"/>
                  <w:vAlign w:val="center"/>
                </w:tcPr>
                <w:p>
                  <w:pPr>
                    <w:pStyle w:val="54"/>
                    <w:rPr>
                      <w:color w:val="auto"/>
                    </w:rPr>
                  </w:pPr>
                  <w:r>
                    <w:rPr>
                      <w:rFonts w:hint="eastAsia"/>
                      <w:color w:val="auto"/>
                    </w:rPr>
                    <w:t>控制项目名称</w:t>
                  </w:r>
                </w:p>
              </w:tc>
              <w:tc>
                <w:tcPr>
                  <w:tcW w:w="1250" w:type="pct"/>
                  <w:vAlign w:val="center"/>
                </w:tcPr>
                <w:p>
                  <w:pPr>
                    <w:pStyle w:val="54"/>
                    <w:rPr>
                      <w:color w:val="auto"/>
                    </w:rPr>
                  </w:pPr>
                  <w:r>
                    <w:rPr>
                      <w:rFonts w:hint="eastAsia"/>
                      <w:color w:val="auto"/>
                    </w:rPr>
                    <w:t>单位</w:t>
                  </w:r>
                </w:p>
              </w:tc>
              <w:tc>
                <w:tcPr>
                  <w:tcW w:w="1250" w:type="pct"/>
                  <w:vAlign w:val="center"/>
                </w:tcPr>
                <w:p>
                  <w:pPr>
                    <w:pStyle w:val="54"/>
                    <w:rPr>
                      <w:color w:val="auto"/>
                    </w:rPr>
                  </w:pPr>
                  <w:r>
                    <w:rPr>
                      <w:rFonts w:hint="eastAsia"/>
                      <w:color w:val="auto"/>
                    </w:rPr>
                    <w:t>B级标准限值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250" w:type="pct"/>
                  <w:vAlign w:val="center"/>
                </w:tcPr>
                <w:p>
                  <w:pPr>
                    <w:pStyle w:val="54"/>
                    <w:rPr>
                      <w:color w:val="auto"/>
                    </w:rPr>
                  </w:pPr>
                  <w:r>
                    <w:rPr>
                      <w:rFonts w:hint="eastAsia"/>
                      <w:color w:val="auto"/>
                    </w:rPr>
                    <w:t>1</w:t>
                  </w:r>
                </w:p>
              </w:tc>
              <w:tc>
                <w:tcPr>
                  <w:tcW w:w="1250" w:type="pct"/>
                  <w:vAlign w:val="center"/>
                </w:tcPr>
                <w:p>
                  <w:pPr>
                    <w:pStyle w:val="54"/>
                    <w:rPr>
                      <w:color w:val="auto"/>
                    </w:rPr>
                  </w:pPr>
                  <w:r>
                    <w:rPr>
                      <w:rFonts w:hint="eastAsia"/>
                      <w:color w:val="auto"/>
                    </w:rPr>
                    <w:t>p</w:t>
                  </w:r>
                  <w:r>
                    <w:rPr>
                      <w:color w:val="auto"/>
                    </w:rPr>
                    <w:t>H</w:t>
                  </w:r>
                </w:p>
              </w:tc>
              <w:tc>
                <w:tcPr>
                  <w:tcW w:w="1250" w:type="pct"/>
                  <w:vAlign w:val="center"/>
                </w:tcPr>
                <w:p>
                  <w:pPr>
                    <w:pStyle w:val="54"/>
                    <w:rPr>
                      <w:color w:val="auto"/>
                    </w:rPr>
                  </w:pPr>
                  <w:r>
                    <w:rPr>
                      <w:rFonts w:hint="eastAsia"/>
                      <w:color w:val="auto"/>
                    </w:rPr>
                    <w:t>无量纲</w:t>
                  </w:r>
                </w:p>
              </w:tc>
              <w:tc>
                <w:tcPr>
                  <w:tcW w:w="1250" w:type="pct"/>
                  <w:vAlign w:val="center"/>
                </w:tcPr>
                <w:p>
                  <w:pPr>
                    <w:pStyle w:val="54"/>
                    <w:rPr>
                      <w:color w:val="auto"/>
                    </w:rPr>
                  </w:pPr>
                  <w:r>
                    <w:rPr>
                      <w:rFonts w:hint="eastAsia"/>
                      <w:color w:val="auto"/>
                    </w:rPr>
                    <w:t>6</w:t>
                  </w:r>
                  <w:r>
                    <w:rPr>
                      <w:color w:val="auto"/>
                    </w:rPr>
                    <w:t>.5~9.5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250" w:type="pct"/>
                  <w:vAlign w:val="center"/>
                </w:tcPr>
                <w:p>
                  <w:pPr>
                    <w:pStyle w:val="54"/>
                    <w:rPr>
                      <w:color w:val="auto"/>
                    </w:rPr>
                  </w:pPr>
                  <w:r>
                    <w:rPr>
                      <w:rFonts w:hint="eastAsia"/>
                      <w:color w:val="auto"/>
                    </w:rPr>
                    <w:t>2</w:t>
                  </w:r>
                </w:p>
              </w:tc>
              <w:tc>
                <w:tcPr>
                  <w:tcW w:w="1250" w:type="pct"/>
                  <w:vAlign w:val="center"/>
                </w:tcPr>
                <w:p>
                  <w:pPr>
                    <w:pStyle w:val="54"/>
                    <w:rPr>
                      <w:color w:val="auto"/>
                    </w:rPr>
                  </w:pPr>
                  <w:r>
                    <w:rPr>
                      <w:rFonts w:hint="eastAsia"/>
                      <w:color w:val="auto"/>
                    </w:rPr>
                    <w:t>C</w:t>
                  </w:r>
                  <w:r>
                    <w:rPr>
                      <w:color w:val="auto"/>
                    </w:rPr>
                    <w:t>O</w:t>
                  </w:r>
                  <w:r>
                    <w:rPr>
                      <w:rFonts w:hint="eastAsia"/>
                      <w:color w:val="auto"/>
                    </w:rPr>
                    <w:t>D</w:t>
                  </w:r>
                </w:p>
              </w:tc>
              <w:tc>
                <w:tcPr>
                  <w:tcW w:w="1250" w:type="pct"/>
                  <w:vAlign w:val="center"/>
                </w:tcPr>
                <w:p>
                  <w:pPr>
                    <w:pStyle w:val="54"/>
                    <w:rPr>
                      <w:color w:val="auto"/>
                    </w:rPr>
                  </w:pPr>
                  <w:r>
                    <w:rPr>
                      <w:rFonts w:hint="eastAsia"/>
                      <w:color w:val="auto"/>
                    </w:rPr>
                    <w:t>m</w:t>
                  </w:r>
                  <w:r>
                    <w:rPr>
                      <w:color w:val="auto"/>
                    </w:rPr>
                    <w:t>g/l</w:t>
                  </w:r>
                </w:p>
              </w:tc>
              <w:tc>
                <w:tcPr>
                  <w:tcW w:w="1250" w:type="pct"/>
                  <w:vAlign w:val="center"/>
                </w:tcPr>
                <w:p>
                  <w:pPr>
                    <w:pStyle w:val="54"/>
                    <w:rPr>
                      <w:color w:val="auto"/>
                    </w:rPr>
                  </w:pPr>
                  <w:r>
                    <w:rPr>
                      <w:rFonts w:hint="eastAsia"/>
                      <w:color w:val="auto"/>
                    </w:rPr>
                    <w:t>5</w:t>
                  </w:r>
                  <w:r>
                    <w:rPr>
                      <w:color w:val="auto"/>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250" w:type="pct"/>
                  <w:vAlign w:val="center"/>
                </w:tcPr>
                <w:p>
                  <w:pPr>
                    <w:pStyle w:val="54"/>
                    <w:rPr>
                      <w:color w:val="auto"/>
                    </w:rPr>
                  </w:pPr>
                  <w:r>
                    <w:rPr>
                      <w:rFonts w:hint="eastAsia"/>
                      <w:color w:val="auto"/>
                    </w:rPr>
                    <w:t>3</w:t>
                  </w:r>
                </w:p>
              </w:tc>
              <w:tc>
                <w:tcPr>
                  <w:tcW w:w="1250" w:type="pct"/>
                  <w:vAlign w:val="center"/>
                </w:tcPr>
                <w:p>
                  <w:pPr>
                    <w:pStyle w:val="54"/>
                    <w:rPr>
                      <w:color w:val="auto"/>
                    </w:rPr>
                  </w:pPr>
                  <w:r>
                    <w:rPr>
                      <w:rFonts w:hint="eastAsia"/>
                      <w:color w:val="auto"/>
                    </w:rPr>
                    <w:t>B</w:t>
                  </w:r>
                  <w:r>
                    <w:rPr>
                      <w:color w:val="auto"/>
                    </w:rPr>
                    <w:t>OD</w:t>
                  </w:r>
                  <w:r>
                    <w:rPr>
                      <w:color w:val="auto"/>
                      <w:vertAlign w:val="subscript"/>
                    </w:rPr>
                    <w:t>5</w:t>
                  </w:r>
                </w:p>
              </w:tc>
              <w:tc>
                <w:tcPr>
                  <w:tcW w:w="1250" w:type="pct"/>
                  <w:vAlign w:val="center"/>
                </w:tcPr>
                <w:p>
                  <w:pPr>
                    <w:pStyle w:val="54"/>
                    <w:rPr>
                      <w:color w:val="auto"/>
                    </w:rPr>
                  </w:pPr>
                  <w:r>
                    <w:rPr>
                      <w:rFonts w:hint="eastAsia"/>
                      <w:color w:val="auto"/>
                    </w:rPr>
                    <w:t>m</w:t>
                  </w:r>
                  <w:r>
                    <w:rPr>
                      <w:color w:val="auto"/>
                    </w:rPr>
                    <w:t>g/l</w:t>
                  </w:r>
                </w:p>
              </w:tc>
              <w:tc>
                <w:tcPr>
                  <w:tcW w:w="1250" w:type="pct"/>
                  <w:vAlign w:val="center"/>
                </w:tcPr>
                <w:p>
                  <w:pPr>
                    <w:pStyle w:val="54"/>
                    <w:rPr>
                      <w:color w:val="auto"/>
                    </w:rPr>
                  </w:pPr>
                  <w:r>
                    <w:rPr>
                      <w:rFonts w:hint="eastAsia"/>
                      <w:color w:val="auto"/>
                    </w:rPr>
                    <w:t>3</w:t>
                  </w:r>
                  <w:r>
                    <w:rPr>
                      <w:color w:val="auto"/>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250" w:type="pct"/>
                  <w:vAlign w:val="center"/>
                </w:tcPr>
                <w:p>
                  <w:pPr>
                    <w:pStyle w:val="54"/>
                    <w:rPr>
                      <w:color w:val="auto"/>
                    </w:rPr>
                  </w:pPr>
                  <w:r>
                    <w:rPr>
                      <w:rFonts w:hint="eastAsia"/>
                      <w:color w:val="auto"/>
                    </w:rPr>
                    <w:t>4</w:t>
                  </w:r>
                </w:p>
              </w:tc>
              <w:tc>
                <w:tcPr>
                  <w:tcW w:w="1250" w:type="pct"/>
                  <w:vAlign w:val="center"/>
                </w:tcPr>
                <w:p>
                  <w:pPr>
                    <w:pStyle w:val="54"/>
                    <w:rPr>
                      <w:color w:val="auto"/>
                    </w:rPr>
                  </w:pPr>
                  <w:r>
                    <w:rPr>
                      <w:rFonts w:hint="eastAsia"/>
                      <w:color w:val="auto"/>
                    </w:rPr>
                    <w:t>悬浮物</w:t>
                  </w:r>
                </w:p>
              </w:tc>
              <w:tc>
                <w:tcPr>
                  <w:tcW w:w="1250" w:type="pct"/>
                  <w:vAlign w:val="center"/>
                </w:tcPr>
                <w:p>
                  <w:pPr>
                    <w:pStyle w:val="54"/>
                    <w:rPr>
                      <w:color w:val="auto"/>
                    </w:rPr>
                  </w:pPr>
                  <w:r>
                    <w:rPr>
                      <w:rFonts w:hint="eastAsia"/>
                      <w:color w:val="auto"/>
                    </w:rPr>
                    <w:t>m</w:t>
                  </w:r>
                  <w:r>
                    <w:rPr>
                      <w:color w:val="auto"/>
                    </w:rPr>
                    <w:t>g/l</w:t>
                  </w:r>
                </w:p>
              </w:tc>
              <w:tc>
                <w:tcPr>
                  <w:tcW w:w="1250" w:type="pct"/>
                  <w:vAlign w:val="center"/>
                </w:tcPr>
                <w:p>
                  <w:pPr>
                    <w:pStyle w:val="54"/>
                    <w:rPr>
                      <w:color w:val="auto"/>
                    </w:rPr>
                  </w:pPr>
                  <w:r>
                    <w:rPr>
                      <w:rFonts w:hint="eastAsia"/>
                      <w:color w:val="auto"/>
                    </w:rPr>
                    <w:t>4</w:t>
                  </w:r>
                  <w:r>
                    <w:rPr>
                      <w:color w:val="auto"/>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250" w:type="pct"/>
                  <w:vAlign w:val="center"/>
                </w:tcPr>
                <w:p>
                  <w:pPr>
                    <w:pStyle w:val="54"/>
                    <w:rPr>
                      <w:color w:val="auto"/>
                    </w:rPr>
                  </w:pPr>
                  <w:r>
                    <w:rPr>
                      <w:rFonts w:hint="eastAsia"/>
                      <w:color w:val="auto"/>
                    </w:rPr>
                    <w:t>5</w:t>
                  </w:r>
                </w:p>
              </w:tc>
              <w:tc>
                <w:tcPr>
                  <w:tcW w:w="1250" w:type="pct"/>
                  <w:vAlign w:val="center"/>
                </w:tcPr>
                <w:p>
                  <w:pPr>
                    <w:pStyle w:val="54"/>
                    <w:rPr>
                      <w:color w:val="auto"/>
                    </w:rPr>
                  </w:pPr>
                  <w:r>
                    <w:rPr>
                      <w:rFonts w:hint="eastAsia"/>
                      <w:color w:val="auto"/>
                    </w:rPr>
                    <w:t>氨氮</w:t>
                  </w:r>
                </w:p>
              </w:tc>
              <w:tc>
                <w:tcPr>
                  <w:tcW w:w="1250" w:type="pct"/>
                  <w:vAlign w:val="center"/>
                </w:tcPr>
                <w:p>
                  <w:pPr>
                    <w:pStyle w:val="54"/>
                    <w:rPr>
                      <w:color w:val="auto"/>
                    </w:rPr>
                  </w:pPr>
                  <w:r>
                    <w:rPr>
                      <w:rFonts w:hint="eastAsia"/>
                      <w:color w:val="auto"/>
                    </w:rPr>
                    <w:t>m</w:t>
                  </w:r>
                  <w:r>
                    <w:rPr>
                      <w:color w:val="auto"/>
                    </w:rPr>
                    <w:t>g/l</w:t>
                  </w:r>
                </w:p>
              </w:tc>
              <w:tc>
                <w:tcPr>
                  <w:tcW w:w="1250" w:type="pct"/>
                  <w:vAlign w:val="center"/>
                </w:tcPr>
                <w:p>
                  <w:pPr>
                    <w:pStyle w:val="54"/>
                    <w:rPr>
                      <w:color w:val="auto"/>
                    </w:rPr>
                  </w:pPr>
                  <w:r>
                    <w:rPr>
                      <w:rFonts w:hint="eastAsia"/>
                      <w:color w:val="auto"/>
                    </w:rPr>
                    <w:t>4</w:t>
                  </w:r>
                  <w:r>
                    <w:rPr>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250" w:type="pct"/>
                  <w:vAlign w:val="center"/>
                </w:tcPr>
                <w:p>
                  <w:pPr>
                    <w:pStyle w:val="54"/>
                    <w:rPr>
                      <w:color w:val="auto"/>
                    </w:rPr>
                  </w:pPr>
                  <w:r>
                    <w:rPr>
                      <w:rFonts w:hint="eastAsia"/>
                      <w:color w:val="auto"/>
                    </w:rPr>
                    <w:t>6</w:t>
                  </w:r>
                </w:p>
              </w:tc>
              <w:tc>
                <w:tcPr>
                  <w:tcW w:w="1250" w:type="pct"/>
                  <w:vAlign w:val="center"/>
                </w:tcPr>
                <w:p>
                  <w:pPr>
                    <w:pStyle w:val="54"/>
                    <w:rPr>
                      <w:color w:val="auto"/>
                    </w:rPr>
                  </w:pPr>
                  <w:r>
                    <w:rPr>
                      <w:rFonts w:hint="eastAsia"/>
                      <w:color w:val="auto"/>
                    </w:rPr>
                    <w:t>LAS</w:t>
                  </w:r>
                </w:p>
              </w:tc>
              <w:tc>
                <w:tcPr>
                  <w:tcW w:w="1250" w:type="pct"/>
                  <w:vAlign w:val="center"/>
                </w:tcPr>
                <w:p>
                  <w:pPr>
                    <w:pStyle w:val="54"/>
                    <w:rPr>
                      <w:color w:val="auto"/>
                    </w:rPr>
                  </w:pPr>
                  <w:r>
                    <w:rPr>
                      <w:rFonts w:hint="eastAsia"/>
                      <w:color w:val="auto"/>
                    </w:rPr>
                    <w:t>m</w:t>
                  </w:r>
                  <w:r>
                    <w:rPr>
                      <w:color w:val="auto"/>
                    </w:rPr>
                    <w:t>g/l</w:t>
                  </w:r>
                </w:p>
              </w:tc>
              <w:tc>
                <w:tcPr>
                  <w:tcW w:w="1250" w:type="pct"/>
                  <w:vAlign w:val="center"/>
                </w:tcPr>
                <w:p>
                  <w:pPr>
                    <w:pStyle w:val="54"/>
                    <w:rPr>
                      <w:color w:val="auto"/>
                    </w:rPr>
                  </w:pPr>
                  <w:r>
                    <w:rPr>
                      <w:rFonts w:hint="eastAsia"/>
                      <w:color w:val="auto"/>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250" w:type="pct"/>
                  <w:vAlign w:val="center"/>
                </w:tcPr>
                <w:p>
                  <w:pPr>
                    <w:pStyle w:val="54"/>
                    <w:rPr>
                      <w:color w:val="auto"/>
                    </w:rPr>
                  </w:pPr>
                  <w:r>
                    <w:rPr>
                      <w:rFonts w:hint="eastAsia"/>
                      <w:color w:val="auto"/>
                    </w:rPr>
                    <w:t>7</w:t>
                  </w:r>
                </w:p>
              </w:tc>
              <w:tc>
                <w:tcPr>
                  <w:tcW w:w="1250" w:type="pct"/>
                  <w:vAlign w:val="center"/>
                </w:tcPr>
                <w:p>
                  <w:pPr>
                    <w:pStyle w:val="54"/>
                    <w:rPr>
                      <w:color w:val="auto"/>
                    </w:rPr>
                  </w:pPr>
                  <w:r>
                    <w:rPr>
                      <w:rFonts w:hint="eastAsia"/>
                      <w:color w:val="auto"/>
                    </w:rPr>
                    <w:t>石油类</w:t>
                  </w:r>
                </w:p>
              </w:tc>
              <w:tc>
                <w:tcPr>
                  <w:tcW w:w="1250" w:type="pct"/>
                  <w:vAlign w:val="center"/>
                </w:tcPr>
                <w:p>
                  <w:pPr>
                    <w:pStyle w:val="54"/>
                    <w:rPr>
                      <w:color w:val="auto"/>
                    </w:rPr>
                  </w:pPr>
                  <w:r>
                    <w:rPr>
                      <w:rFonts w:hint="eastAsia"/>
                      <w:color w:val="auto"/>
                    </w:rPr>
                    <w:t>m</w:t>
                  </w:r>
                  <w:r>
                    <w:rPr>
                      <w:color w:val="auto"/>
                    </w:rPr>
                    <w:t>g/l</w:t>
                  </w:r>
                </w:p>
              </w:tc>
              <w:tc>
                <w:tcPr>
                  <w:tcW w:w="1250" w:type="pct"/>
                  <w:vAlign w:val="center"/>
                </w:tcPr>
                <w:p>
                  <w:pPr>
                    <w:pStyle w:val="54"/>
                    <w:rPr>
                      <w:color w:val="auto"/>
                    </w:rPr>
                  </w:pPr>
                  <w:r>
                    <w:rPr>
                      <w:rFonts w:hint="eastAsia"/>
                      <w:color w:val="auto"/>
                    </w:rPr>
                    <w:t>1</w:t>
                  </w:r>
                  <w:r>
                    <w:rPr>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250" w:type="pct"/>
                  <w:vAlign w:val="center"/>
                </w:tcPr>
                <w:p>
                  <w:pPr>
                    <w:pStyle w:val="54"/>
                    <w:rPr>
                      <w:color w:val="auto"/>
                    </w:rPr>
                  </w:pPr>
                  <w:r>
                    <w:rPr>
                      <w:rFonts w:hint="eastAsia"/>
                      <w:color w:val="auto"/>
                    </w:rPr>
                    <w:t>8</w:t>
                  </w:r>
                </w:p>
              </w:tc>
              <w:tc>
                <w:tcPr>
                  <w:tcW w:w="1250" w:type="pct"/>
                  <w:vAlign w:val="center"/>
                </w:tcPr>
                <w:p>
                  <w:pPr>
                    <w:pStyle w:val="54"/>
                    <w:rPr>
                      <w:color w:val="auto"/>
                    </w:rPr>
                  </w:pPr>
                  <w:r>
                    <w:rPr>
                      <w:rFonts w:hint="eastAsia"/>
                      <w:color w:val="auto"/>
                    </w:rPr>
                    <w:t>动植物油</w:t>
                  </w:r>
                </w:p>
              </w:tc>
              <w:tc>
                <w:tcPr>
                  <w:tcW w:w="1250" w:type="pct"/>
                  <w:vAlign w:val="center"/>
                </w:tcPr>
                <w:p>
                  <w:pPr>
                    <w:pStyle w:val="54"/>
                    <w:rPr>
                      <w:color w:val="auto"/>
                    </w:rPr>
                  </w:pPr>
                  <w:r>
                    <w:rPr>
                      <w:rFonts w:hint="eastAsia"/>
                      <w:color w:val="auto"/>
                    </w:rPr>
                    <w:t>m</w:t>
                  </w:r>
                  <w:r>
                    <w:rPr>
                      <w:color w:val="auto"/>
                    </w:rPr>
                    <w:t>g/l</w:t>
                  </w:r>
                </w:p>
              </w:tc>
              <w:tc>
                <w:tcPr>
                  <w:tcW w:w="1250" w:type="pct"/>
                  <w:vAlign w:val="center"/>
                </w:tcPr>
                <w:p>
                  <w:pPr>
                    <w:pStyle w:val="54"/>
                    <w:rPr>
                      <w:color w:val="auto"/>
                    </w:rPr>
                  </w:pPr>
                  <w:r>
                    <w:rPr>
                      <w:rFonts w:hint="eastAsia"/>
                      <w:color w:val="auto"/>
                    </w:rPr>
                    <w:t>100</w:t>
                  </w:r>
                </w:p>
              </w:tc>
            </w:tr>
          </w:tbl>
          <w:p>
            <w:pPr>
              <w:ind w:firstLine="480"/>
              <w:rPr>
                <w:color w:val="auto"/>
              </w:rPr>
            </w:pPr>
          </w:p>
          <w:p>
            <w:pPr>
              <w:pStyle w:val="5"/>
              <w:ind w:firstLine="281"/>
              <w:rPr>
                <w:color w:val="auto"/>
              </w:rPr>
            </w:pPr>
            <w:r>
              <w:rPr>
                <w:rFonts w:hint="eastAsia"/>
                <w:color w:val="auto"/>
              </w:rPr>
              <w:t>4固体废物</w:t>
            </w:r>
          </w:p>
          <w:p>
            <w:pPr>
              <w:ind w:firstLine="480"/>
              <w:rPr>
                <w:color w:val="auto"/>
              </w:rPr>
            </w:pPr>
            <w:r>
              <w:rPr>
                <w:rFonts w:hint="eastAsia"/>
                <w:color w:val="auto"/>
              </w:rPr>
              <w:t>项目运营期生活垃圾、一般固废的处置执行《一般工业固体废物贮存和填埋污染控制标准》（GB18599-2020），危险废物执行《危险废物贮存污染控制标准》（GB18597-2023）标准。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36" w:hRule="atLeast"/>
          <w:jc w:val="center"/>
        </w:trPr>
        <w:tc>
          <w:tcPr>
            <w:tcW w:w="456" w:type="dxa"/>
            <w:vAlign w:val="center"/>
          </w:tcPr>
          <w:p>
            <w:pPr>
              <w:ind w:firstLine="0" w:firstLineChars="0"/>
              <w:jc w:val="center"/>
              <w:rPr>
                <w:rFonts w:hint="eastAsia" w:ascii="宋体" w:hAnsi="宋体" w:cs="宋体"/>
                <w:color w:val="auto"/>
                <w:kern w:val="0"/>
                <w:szCs w:val="21"/>
              </w:rPr>
            </w:pPr>
            <w:r>
              <w:rPr>
                <w:rFonts w:hint="eastAsia"/>
                <w:color w:val="auto"/>
              </w:rPr>
              <w:t>总量控制指标</w:t>
            </w:r>
          </w:p>
        </w:tc>
        <w:tc>
          <w:tcPr>
            <w:tcW w:w="8513" w:type="dxa"/>
            <w:vAlign w:val="center"/>
          </w:tcPr>
          <w:p>
            <w:pPr>
              <w:ind w:firstLine="480"/>
              <w:rPr>
                <w:color w:val="auto"/>
                <w:kern w:val="0"/>
                <w:lang w:bidi="ar"/>
              </w:rPr>
            </w:pPr>
            <w:r>
              <w:rPr>
                <w:color w:val="auto"/>
              </w:rPr>
              <w:t>污染物来源于</w:t>
            </w:r>
            <w:r>
              <w:rPr>
                <w:rFonts w:hint="eastAsia"/>
                <w:color w:val="auto"/>
              </w:rPr>
              <w:t>柴油、重油</w:t>
            </w:r>
            <w:r>
              <w:rPr>
                <w:color w:val="auto"/>
              </w:rPr>
              <w:t>燃烧产生的废气。本次评价将</w:t>
            </w:r>
            <w:r>
              <w:rPr>
                <w:rFonts w:hint="eastAsia"/>
                <w:color w:val="auto"/>
              </w:rPr>
              <w:t>SO</w:t>
            </w:r>
            <w:r>
              <w:rPr>
                <w:rFonts w:hint="eastAsia"/>
                <w:color w:val="auto"/>
                <w:vertAlign w:val="subscript"/>
              </w:rPr>
              <w:t>2</w:t>
            </w:r>
            <w:r>
              <w:rPr>
                <w:rFonts w:hint="eastAsia"/>
                <w:color w:val="auto"/>
                <w:sz w:val="21"/>
                <w:szCs w:val="21"/>
              </w:rPr>
              <w:t>、</w:t>
            </w:r>
            <w:r>
              <w:rPr>
                <w:color w:val="auto"/>
              </w:rPr>
              <w:t>NO</w:t>
            </w:r>
            <w:r>
              <w:rPr>
                <w:color w:val="auto"/>
                <w:vertAlign w:val="subscript"/>
              </w:rPr>
              <w:t>x</w:t>
            </w:r>
            <w:r>
              <w:rPr>
                <w:color w:val="auto"/>
              </w:rPr>
              <w:t>作为总量控制指标。项目建成后NOx排放量为</w:t>
            </w:r>
            <w:r>
              <w:rPr>
                <w:rFonts w:hint="eastAsia"/>
                <w:color w:val="auto"/>
              </w:rPr>
              <w:t>0.523</w:t>
            </w:r>
            <w:r>
              <w:rPr>
                <w:color w:val="auto"/>
              </w:rPr>
              <w:t>t/a</w:t>
            </w:r>
            <w:r>
              <w:rPr>
                <w:rFonts w:hint="eastAsia"/>
                <w:color w:val="auto"/>
              </w:rPr>
              <w:t>，SO</w:t>
            </w:r>
            <w:r>
              <w:rPr>
                <w:rFonts w:hint="eastAsia"/>
                <w:color w:val="auto"/>
                <w:vertAlign w:val="subscript"/>
              </w:rPr>
              <w:t>2</w:t>
            </w:r>
            <w:r>
              <w:rPr>
                <w:color w:val="auto"/>
              </w:rPr>
              <w:t>排放量为</w:t>
            </w:r>
            <w:r>
              <w:rPr>
                <w:rFonts w:hint="eastAsia"/>
                <w:color w:val="auto"/>
              </w:rPr>
              <w:t>0.57</w:t>
            </w:r>
            <w:r>
              <w:rPr>
                <w:color w:val="auto"/>
              </w:rPr>
              <w:t>t/a</w:t>
            </w:r>
            <w:r>
              <w:rPr>
                <w:rFonts w:hint="eastAsia"/>
                <w:color w:val="auto"/>
              </w:rPr>
              <w:t>，</w:t>
            </w:r>
            <w:r>
              <w:rPr>
                <w:color w:val="auto"/>
                <w:kern w:val="0"/>
                <w:lang w:bidi="ar"/>
              </w:rPr>
              <w:t>通过排污权交易获得。</w:t>
            </w:r>
          </w:p>
          <w:p>
            <w:pPr>
              <w:ind w:firstLine="480"/>
              <w:rPr>
                <w:color w:val="auto"/>
              </w:rPr>
            </w:pPr>
            <w:r>
              <w:rPr>
                <w:rFonts w:hint="eastAsia"/>
                <w:color w:val="auto"/>
              </w:rPr>
              <w:t>生活污水经化粪池预处理后通过污水管网排入园区管网，故本项目不申请废水总量控制指标。</w:t>
            </w:r>
          </w:p>
        </w:tc>
      </w:tr>
    </w:tbl>
    <w:p>
      <w:pPr>
        <w:pStyle w:val="3"/>
        <w:rPr>
          <w:rFonts w:hint="eastAsia" w:ascii="黑体" w:hAnsi="黑体" w:eastAsia="黑体"/>
          <w:snapToGrid w:val="0"/>
          <w:color w:val="auto"/>
          <w:sz w:val="30"/>
        </w:rPr>
      </w:pPr>
      <w:r>
        <w:rPr>
          <w:rFonts w:ascii="黑体" w:hAnsi="黑体" w:eastAsia="黑体"/>
          <w:snapToGrid w:val="0"/>
          <w:color w:val="auto"/>
          <w:sz w:val="36"/>
          <w:szCs w:val="36"/>
        </w:rPr>
        <w:br w:type="page"/>
      </w:r>
      <w:r>
        <w:rPr>
          <w:rFonts w:hint="eastAsia" w:ascii="黑体" w:hAnsi="黑体" w:eastAsia="黑体"/>
          <w:snapToGrid w:val="0"/>
          <w:color w:val="auto"/>
          <w:sz w:val="30"/>
        </w:rPr>
        <w:t>四、主要环境影响和保护措施</w:t>
      </w:r>
    </w:p>
    <w:tbl>
      <w:tblPr>
        <w:tblStyle w:val="31"/>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6"/>
        <w:gridCol w:w="81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00" w:type="pct"/>
            <w:tcMar>
              <w:left w:w="28" w:type="dxa"/>
              <w:right w:w="28" w:type="dxa"/>
            </w:tcMar>
            <w:vAlign w:val="center"/>
          </w:tcPr>
          <w:p>
            <w:pPr>
              <w:pStyle w:val="55"/>
              <w:widowControl/>
              <w:rPr>
                <w:color w:val="auto"/>
              </w:rPr>
            </w:pPr>
            <w:r>
              <w:rPr>
                <w:rFonts w:hint="eastAsia"/>
                <w:color w:val="auto"/>
              </w:rPr>
              <w:t>施工</w:t>
            </w:r>
          </w:p>
          <w:p>
            <w:pPr>
              <w:pStyle w:val="55"/>
              <w:widowControl/>
              <w:rPr>
                <w:color w:val="auto"/>
              </w:rPr>
            </w:pPr>
            <w:r>
              <w:rPr>
                <w:rFonts w:hint="eastAsia"/>
                <w:color w:val="auto"/>
              </w:rPr>
              <w:t>期环</w:t>
            </w:r>
          </w:p>
          <w:p>
            <w:pPr>
              <w:pStyle w:val="55"/>
              <w:widowControl/>
              <w:rPr>
                <w:color w:val="auto"/>
              </w:rPr>
            </w:pPr>
            <w:r>
              <w:rPr>
                <w:rFonts w:hint="eastAsia"/>
                <w:color w:val="auto"/>
              </w:rPr>
              <w:t>境保</w:t>
            </w:r>
          </w:p>
          <w:p>
            <w:pPr>
              <w:pStyle w:val="55"/>
              <w:widowControl/>
              <w:rPr>
                <w:rFonts w:cs="宋体"/>
                <w:bCs/>
                <w:color w:val="auto"/>
                <w:kern w:val="2"/>
              </w:rPr>
            </w:pPr>
            <w:r>
              <w:rPr>
                <w:rFonts w:hint="eastAsia"/>
                <w:color w:val="auto"/>
              </w:rPr>
              <w:t>护措施</w:t>
            </w:r>
          </w:p>
        </w:tc>
        <w:tc>
          <w:tcPr>
            <w:tcW w:w="4699" w:type="pct"/>
            <w:vAlign w:val="center"/>
          </w:tcPr>
          <w:p>
            <w:pPr>
              <w:ind w:firstLine="482"/>
              <w:rPr>
                <w:b/>
                <w:bCs/>
                <w:color w:val="auto"/>
              </w:rPr>
            </w:pPr>
            <w:r>
              <w:rPr>
                <w:rFonts w:hint="eastAsia"/>
                <w:b/>
                <w:bCs/>
                <w:color w:val="auto"/>
              </w:rPr>
              <w:t>1废气</w:t>
            </w:r>
          </w:p>
          <w:p>
            <w:pPr>
              <w:ind w:firstLine="480"/>
              <w:rPr>
                <w:rFonts w:hint="eastAsia" w:ascii="宋体" w:hAnsi="宋体" w:cs="宋体"/>
                <w:color w:val="auto"/>
              </w:rPr>
            </w:pPr>
            <w:r>
              <w:rPr>
                <w:rFonts w:ascii="宋体" w:hAnsi="宋体" w:cs="宋体"/>
                <w:color w:val="auto"/>
              </w:rPr>
              <w:t xml:space="preserve">项目施工期大气污染物主要来源于地面平整、开挖、挖方回填及运输 车辆等产生的少量扬尘及汽车尾气等。 </w:t>
            </w:r>
          </w:p>
          <w:p>
            <w:pPr>
              <w:numPr>
                <w:ilvl w:val="0"/>
                <w:numId w:val="8"/>
              </w:numPr>
              <w:ind w:firstLine="480"/>
              <w:rPr>
                <w:rFonts w:hint="eastAsia" w:ascii="宋体" w:hAnsi="宋体" w:cs="宋体"/>
                <w:color w:val="auto"/>
              </w:rPr>
            </w:pPr>
            <w:r>
              <w:rPr>
                <w:rFonts w:ascii="宋体" w:hAnsi="宋体" w:cs="宋体"/>
                <w:color w:val="auto"/>
              </w:rPr>
              <w:t>扬尘</w:t>
            </w:r>
          </w:p>
          <w:p>
            <w:pPr>
              <w:ind w:firstLine="480"/>
              <w:rPr>
                <w:rFonts w:hint="eastAsia" w:ascii="宋体" w:hAnsi="宋体" w:cs="宋体"/>
                <w:color w:val="auto"/>
              </w:rPr>
            </w:pPr>
            <w:r>
              <w:rPr>
                <w:rFonts w:ascii="宋体" w:hAnsi="宋体" w:cs="宋体"/>
                <w:color w:val="auto"/>
              </w:rPr>
              <w:t>扬尘污染是施工期间主要的污染因素之一，为减少施工扬尘的产生和排放，在施工过程中，施工单位必须强化施工扬尘监管，全面开展扬尘综合整治，积极推行绿色施工标准，</w:t>
            </w:r>
            <w:r>
              <w:rPr>
                <w:rFonts w:hint="eastAsia" w:ascii="宋体" w:hAnsi="宋体" w:cs="宋体"/>
                <w:color w:val="auto"/>
              </w:rPr>
              <w:t>根据《</w:t>
            </w:r>
            <w:r>
              <w:rPr>
                <w:rFonts w:ascii="宋体" w:hAnsi="宋体" w:cs="宋体"/>
                <w:color w:val="auto"/>
              </w:rPr>
              <w:t>海南州深入打好重污染天气消除、臭氧污染防治和柴油货车污染治理攻坚战的实施方案》</w:t>
            </w:r>
            <w:r>
              <w:rPr>
                <w:rFonts w:hint="eastAsia" w:ascii="宋体" w:hAnsi="宋体" w:cs="宋体"/>
                <w:color w:val="auto"/>
              </w:rPr>
              <w:t>（南生发〔2023〕114号），鼓励推行绿色施工，建立施工工地管控清单，提高标准化管理水平，严格落实“六个百分百”控尘措施，要求加强施工扬尘动态化精细化管理，强化土石方作业、渣土运输扬尘问题的监管，增加作业车辆和机械冲洗频次，严禁带泥上路行驶。</w:t>
            </w:r>
            <w:r>
              <w:rPr>
                <w:rFonts w:ascii="宋体" w:hAnsi="宋体" w:cs="宋体"/>
                <w:color w:val="auto"/>
              </w:rPr>
              <w:t>根据上述要求，并结合本项目实际施工特点，特提出以下扬尘防治措施：</w:t>
            </w:r>
          </w:p>
          <w:p>
            <w:pPr>
              <w:ind w:firstLine="480"/>
              <w:rPr>
                <w:rFonts w:hint="eastAsia" w:ascii="宋体" w:hAnsi="宋体" w:cs="宋体"/>
                <w:color w:val="auto"/>
              </w:rPr>
            </w:pPr>
            <w:r>
              <w:rPr>
                <w:rFonts w:ascii="宋体" w:hAnsi="宋体" w:cs="宋体"/>
                <w:color w:val="auto"/>
              </w:rPr>
              <w:t xml:space="preserve"> ①施工期间，施工单位应在施工现场大门明显处 100%设置扬尘污染防 治监督牌，并按规定设置工程概况牌、安全生产牌、消防保卫牌、文明施 工牌、管理人员名单及监督电话牌、环境保护牌及工程平面布置图。施工 现场应有安全标语，安全警示标志标牌，并设置宣传栏、读报栏、黑板报；</w:t>
            </w:r>
          </w:p>
          <w:p>
            <w:pPr>
              <w:ind w:firstLine="480"/>
              <w:rPr>
                <w:rFonts w:hint="eastAsia" w:ascii="宋体" w:hAnsi="宋体" w:cs="宋体"/>
                <w:color w:val="auto"/>
              </w:rPr>
            </w:pPr>
            <w:r>
              <w:rPr>
                <w:rFonts w:ascii="宋体" w:hAnsi="宋体" w:cs="宋体"/>
                <w:color w:val="auto"/>
              </w:rPr>
              <w:t>②施工现场围挡必须沿工地四周连续设置，不能有除出入口之外的缺 口。在车辆、行人确需同行的地方可以增加设置出入口，在出入口处应设 置明显的施工警示标志，以保证过往行人和车辆的安全。；</w:t>
            </w:r>
          </w:p>
          <w:p>
            <w:pPr>
              <w:ind w:firstLine="480"/>
              <w:rPr>
                <w:rFonts w:hint="eastAsia" w:ascii="宋体" w:hAnsi="宋体" w:cs="宋体"/>
                <w:color w:val="auto"/>
              </w:rPr>
            </w:pPr>
            <w:r>
              <w:rPr>
                <w:rFonts w:ascii="宋体" w:hAnsi="宋体" w:cs="宋体"/>
                <w:color w:val="auto"/>
              </w:rPr>
              <w:t>③施工现场进出主入口应设置车辆冲洗设施，入口内侧设置专业成品 冲洗设施，并设沉淀池，洗车废水经沉淀池沉后回用。冲洗设施应有专人 管理维护，确保进出车辆 100%冲洗；</w:t>
            </w:r>
          </w:p>
          <w:p>
            <w:pPr>
              <w:ind w:firstLine="480"/>
              <w:rPr>
                <w:rFonts w:hint="eastAsia" w:ascii="宋体" w:hAnsi="宋体" w:cs="宋体"/>
                <w:color w:val="auto"/>
              </w:rPr>
            </w:pPr>
            <w:r>
              <w:rPr>
                <w:rFonts w:ascii="宋体" w:hAnsi="宋体" w:cs="宋体"/>
                <w:color w:val="auto"/>
              </w:rPr>
              <w:t>④施工现场道路进行全覆盖洒水抑尘。施工现场设专人负责卫生保 洁，每天定时进行洒水降尘、清扫清洁不得少于 3 次，遇到干旱和大风天 气时，洒水降尘不得少于 6 次，确保无浮土扬尘；</w:t>
            </w:r>
          </w:p>
          <w:p>
            <w:pPr>
              <w:ind w:firstLine="480"/>
              <w:rPr>
                <w:rFonts w:hint="eastAsia" w:ascii="宋体" w:hAnsi="宋体" w:cs="宋体"/>
                <w:color w:val="auto"/>
              </w:rPr>
            </w:pPr>
            <w:r>
              <w:rPr>
                <w:rFonts w:ascii="宋体" w:hAnsi="宋体" w:cs="宋体"/>
                <w:color w:val="auto"/>
              </w:rPr>
              <w:t>⑤建筑施工现场应当设置符合消防要求的进出道口，进出道口和工地 内主要道路、生活、办公区应当进行混凝土硬化处理，并能满足载重车辆通行要求。施工现场应人车分离，设置专用车道，限速标识位置醒目；</w:t>
            </w:r>
          </w:p>
          <w:p>
            <w:pPr>
              <w:ind w:firstLine="480"/>
              <w:rPr>
                <w:rFonts w:hint="eastAsia" w:ascii="宋体" w:hAnsi="宋体" w:cs="宋体"/>
                <w:color w:val="auto"/>
              </w:rPr>
            </w:pPr>
            <w:r>
              <w:rPr>
                <w:rFonts w:ascii="宋体" w:hAnsi="宋体" w:cs="宋体"/>
                <w:color w:val="auto"/>
              </w:rPr>
              <w:t>⑥施工现场开挖裸露土应采取防尘网（布）覆盖处理，防尘网网孔孔 径不应超过 5mm，且应使用环保材料，避免造成二次污染；</w:t>
            </w:r>
          </w:p>
          <w:p>
            <w:pPr>
              <w:ind w:firstLine="480"/>
              <w:rPr>
                <w:rFonts w:hint="eastAsia" w:ascii="宋体" w:hAnsi="宋体" w:cs="宋体"/>
                <w:color w:val="auto"/>
              </w:rPr>
            </w:pPr>
            <w:r>
              <w:rPr>
                <w:rFonts w:ascii="宋体" w:hAnsi="宋体" w:cs="宋体"/>
                <w:color w:val="auto"/>
              </w:rPr>
              <w:t>⑦土方挖运、回填采取 100%洒水抑尘，进行湿法作业。遇到四级以上 大风天气，应停止土方作业，同时作业处覆盖防尘网。渣土车出场前，需 对车辆进行冲洗。工程土方开挖时合理安排施工进度与车辆，场地内尽量 避免大量堆土，挖出土方及时运出，做到随挖随外运。建筑垃圾、渣土和 工程砂石运输车辆的装载高度不得超过车辆槽帮上沿，不超载。须半覆盖 运输，避免撒漏和扬尘；</w:t>
            </w:r>
          </w:p>
          <w:p>
            <w:pPr>
              <w:ind w:firstLine="480"/>
              <w:rPr>
                <w:rFonts w:hint="eastAsia" w:ascii="宋体" w:hAnsi="宋体" w:cs="宋体"/>
                <w:color w:val="auto"/>
              </w:rPr>
            </w:pPr>
            <w:r>
              <w:rPr>
                <w:rFonts w:ascii="宋体" w:hAnsi="宋体" w:cs="宋体"/>
                <w:color w:val="auto"/>
              </w:rPr>
              <w:t>⑧暂不开发用地应采取碾压、夯实、采取防尘网（布）覆盖、简易绿 化、洒水等措施进行防尘处理；</w:t>
            </w:r>
          </w:p>
          <w:p>
            <w:pPr>
              <w:ind w:firstLine="480"/>
              <w:rPr>
                <w:rFonts w:hint="eastAsia" w:ascii="宋体" w:hAnsi="宋体" w:cs="宋体"/>
                <w:color w:val="auto"/>
              </w:rPr>
            </w:pPr>
            <w:r>
              <w:rPr>
                <w:rFonts w:ascii="宋体" w:hAnsi="宋体" w:cs="宋体"/>
                <w:color w:val="auto"/>
              </w:rPr>
              <w:t>⑨加强施工人员劳动保护，如佩戴口罩等。</w:t>
            </w:r>
          </w:p>
          <w:p>
            <w:pPr>
              <w:ind w:firstLine="480"/>
              <w:rPr>
                <w:rFonts w:hint="eastAsia" w:ascii="宋体" w:hAnsi="宋体" w:cs="宋体"/>
                <w:color w:val="auto"/>
              </w:rPr>
            </w:pPr>
            <w:r>
              <w:rPr>
                <w:rFonts w:ascii="宋体" w:hAnsi="宋体" w:cs="宋体"/>
                <w:color w:val="auto"/>
              </w:rPr>
              <w:t>⑩合理安排施工计划，提高施工效率，缩短施工期，并加强施工人员 环保教育，文明作业。 根据《青海省重污染天气应急预案》要求，当发布橙色预警时，启动 Ⅱ级响应措施，停止施工，区内所有建筑工地易扬尘部位应采取全面覆盖、 全天候洒水降尘措施。 本项目建设周期较短、占地面积较小，前期施工、清运土方的扬尘污 染问题须特别重视，建设单位应加强扬尘控制措施，场地进行硬化处理、 运输道路注意清扫以及规范洗车要求，并建立健全的施工扬尘管理制度。 通过采取以上措施处理，施工扬尘对周围环境影响较小。</w:t>
            </w:r>
          </w:p>
          <w:p>
            <w:pPr>
              <w:ind w:firstLine="480"/>
              <w:rPr>
                <w:color w:val="auto"/>
              </w:rPr>
            </w:pPr>
            <w:r>
              <w:rPr>
                <w:rFonts w:hint="eastAsia"/>
                <w:color w:val="auto"/>
              </w:rPr>
              <w:t>在采取上述措施治理后，扬尘可以得到有效控制，对周边环境影响较小。同时，施工期产生的扬尘污染是短期的，随着施工活动的结束，施工扬尘对环境空气的影响也就随之结束。</w:t>
            </w:r>
          </w:p>
          <w:p>
            <w:pPr>
              <w:numPr>
                <w:ilvl w:val="0"/>
                <w:numId w:val="8"/>
              </w:numPr>
              <w:ind w:firstLine="480"/>
              <w:rPr>
                <w:rFonts w:hint="eastAsia" w:ascii="宋体" w:hAnsi="宋体" w:cs="宋体"/>
                <w:color w:val="auto"/>
              </w:rPr>
            </w:pPr>
            <w:r>
              <w:rPr>
                <w:rFonts w:ascii="宋体" w:hAnsi="宋体" w:cs="宋体"/>
                <w:color w:val="auto"/>
              </w:rPr>
              <w:t>车辆尾气</w:t>
            </w:r>
          </w:p>
          <w:p>
            <w:pPr>
              <w:ind w:firstLine="480"/>
              <w:rPr>
                <w:rFonts w:hint="eastAsia" w:ascii="宋体" w:hAnsi="宋体" w:cs="宋体"/>
                <w:color w:val="auto"/>
              </w:rPr>
            </w:pPr>
            <w:r>
              <w:rPr>
                <w:rFonts w:ascii="宋体" w:hAnsi="宋体" w:cs="宋体"/>
                <w:color w:val="auto"/>
              </w:rPr>
              <w:t>施工过程中车辆及施工机械产生的尾气主要含 CO、碳氢化合物、NO2 等污染物。本项目汽车运输和施工机械尾气主要对作业点周围和运输路线 两侧局部范围产生影响。防治措施：</w:t>
            </w:r>
          </w:p>
          <w:p>
            <w:pPr>
              <w:ind w:firstLine="480"/>
              <w:rPr>
                <w:rFonts w:hint="eastAsia" w:ascii="宋体" w:hAnsi="宋体" w:cs="宋体"/>
                <w:color w:val="auto"/>
              </w:rPr>
            </w:pPr>
            <w:r>
              <w:rPr>
                <w:rFonts w:ascii="宋体" w:hAnsi="宋体" w:cs="宋体"/>
                <w:color w:val="auto"/>
              </w:rPr>
              <w:t>①加强施工机械的保养维护，提高机械的正常使用率。</w:t>
            </w:r>
          </w:p>
          <w:p>
            <w:pPr>
              <w:ind w:firstLine="480"/>
              <w:rPr>
                <w:rFonts w:hint="eastAsia" w:ascii="宋体" w:hAnsi="宋体" w:cs="宋体"/>
                <w:color w:val="auto"/>
              </w:rPr>
            </w:pPr>
            <w:r>
              <w:rPr>
                <w:rFonts w:ascii="宋体" w:hAnsi="宋体" w:cs="宋体"/>
                <w:color w:val="auto"/>
              </w:rPr>
              <w:t>②加强对机械、 车辆的维修保养，禁止以柴油为燃料的施工机械超负荷工作，减少烟气污 染物排放。</w:t>
            </w:r>
          </w:p>
          <w:p>
            <w:pPr>
              <w:ind w:firstLine="480"/>
              <w:rPr>
                <w:rFonts w:hint="eastAsia" w:ascii="宋体" w:hAnsi="宋体" w:cs="宋体"/>
                <w:color w:val="auto"/>
              </w:rPr>
            </w:pPr>
            <w:r>
              <w:rPr>
                <w:rFonts w:ascii="宋体" w:hAnsi="宋体" w:cs="宋体"/>
                <w:color w:val="auto"/>
              </w:rPr>
              <w:t>③动力机械多选择使用电动工具，严格控制内燃机械的使用，场地施工内燃机械（如铲车、挖掘机、发电机等）安置有效的空气滤清装 置，并定期清理。</w:t>
            </w:r>
          </w:p>
          <w:p>
            <w:pPr>
              <w:ind w:firstLine="480"/>
              <w:rPr>
                <w:rFonts w:hint="eastAsia" w:ascii="宋体" w:hAnsi="宋体" w:cs="宋体"/>
                <w:color w:val="auto"/>
              </w:rPr>
            </w:pPr>
            <w:r>
              <w:rPr>
                <w:rFonts w:ascii="宋体" w:hAnsi="宋体" w:cs="宋体"/>
                <w:color w:val="auto"/>
              </w:rPr>
              <w:t>④禁止使用废气排放超标的车辆。 通过采取以上措施处理，施工扬尘对周围环境影响较小。</w:t>
            </w:r>
          </w:p>
          <w:p>
            <w:pPr>
              <w:ind w:firstLine="482"/>
              <w:rPr>
                <w:b/>
                <w:bCs/>
                <w:color w:val="auto"/>
              </w:rPr>
            </w:pPr>
            <w:r>
              <w:rPr>
                <w:rFonts w:hint="eastAsia"/>
                <w:b/>
                <w:bCs/>
                <w:color w:val="auto"/>
              </w:rPr>
              <w:t>2废水</w:t>
            </w:r>
          </w:p>
          <w:p>
            <w:pPr>
              <w:ind w:firstLine="480"/>
              <w:rPr>
                <w:color w:val="auto"/>
              </w:rPr>
            </w:pPr>
            <w:r>
              <w:rPr>
                <w:color w:val="auto"/>
              </w:rPr>
              <w:t>本项目施工期废水主要来源于施工人员的生活污水和车辆清洗产生的冲洗废水。</w:t>
            </w:r>
          </w:p>
          <w:p>
            <w:pPr>
              <w:numPr>
                <w:ilvl w:val="0"/>
                <w:numId w:val="9"/>
              </w:numPr>
              <w:ind w:firstLine="480"/>
              <w:rPr>
                <w:color w:val="auto"/>
              </w:rPr>
            </w:pPr>
            <w:r>
              <w:rPr>
                <w:color w:val="auto"/>
              </w:rPr>
              <w:t>生活污水</w:t>
            </w:r>
          </w:p>
          <w:p>
            <w:pPr>
              <w:ind w:firstLine="480"/>
              <w:rPr>
                <w:color w:val="auto"/>
              </w:rPr>
            </w:pPr>
            <w:r>
              <w:rPr>
                <w:color w:val="auto"/>
              </w:rPr>
              <w:t xml:space="preserve"> 本项目施工高峰期施工人员以</w:t>
            </w:r>
            <w:r>
              <w:rPr>
                <w:rFonts w:hint="eastAsia"/>
                <w:color w:val="auto"/>
              </w:rPr>
              <w:t>20</w:t>
            </w:r>
            <w:r>
              <w:rPr>
                <w:color w:val="auto"/>
              </w:rPr>
              <w:t>人计，施工周期 6 个月，施工人员用水量按 40L/人·d 计，则施工期用水量为 0.</w:t>
            </w:r>
            <w:r>
              <w:rPr>
                <w:rFonts w:hint="eastAsia"/>
                <w:color w:val="auto"/>
              </w:rPr>
              <w:t>8</w:t>
            </w:r>
            <w:r>
              <w:rPr>
                <w:color w:val="auto"/>
              </w:rPr>
              <w:t>0m³/d；产污系数以 80%计， 则施工期人员生活污水产生量为 0.</w:t>
            </w:r>
            <w:r>
              <w:rPr>
                <w:rFonts w:hint="eastAsia"/>
                <w:color w:val="auto"/>
              </w:rPr>
              <w:t>64</w:t>
            </w:r>
            <w:r>
              <w:rPr>
                <w:color w:val="auto"/>
              </w:rPr>
              <w:t>m³/d。施工场地内不设临时施工营地，施工人员均为就近村庄人员，不在厂区内食宿。因此其生活污水产生量较小，可直接用于场地泼洒降尘。</w:t>
            </w:r>
          </w:p>
          <w:p>
            <w:pPr>
              <w:numPr>
                <w:ilvl w:val="0"/>
                <w:numId w:val="9"/>
              </w:numPr>
              <w:ind w:firstLine="480"/>
              <w:rPr>
                <w:color w:val="auto"/>
              </w:rPr>
            </w:pPr>
            <w:r>
              <w:rPr>
                <w:color w:val="auto"/>
              </w:rPr>
              <w:t>车辆冲洗废水</w:t>
            </w:r>
          </w:p>
          <w:p>
            <w:pPr>
              <w:ind w:firstLine="480"/>
              <w:rPr>
                <w:color w:val="auto"/>
              </w:rPr>
            </w:pPr>
            <w:r>
              <w:rPr>
                <w:color w:val="auto"/>
              </w:rPr>
              <w:t>车辆冲洗废水产生量约为 1.2m</w:t>
            </w:r>
            <w:r>
              <w:rPr>
                <w:color w:val="auto"/>
                <w:vertAlign w:val="superscript"/>
              </w:rPr>
              <w:t>3</w:t>
            </w:r>
            <w:r>
              <w:rPr>
                <w:color w:val="auto"/>
              </w:rPr>
              <w:t xml:space="preserve">/d，冲洗废水污染因子主要为 SS 以及 少量石油类等，本项目现场施工较为简单，使用的机械设备较少，其产生 的车辆冲洗废水量比较少，经沉淀池沉淀后，上清液循环用于车辆冲洗，不外排。 项目施工周期为 6 个月，施工期总计废水产生量为 </w:t>
            </w:r>
            <w:r>
              <w:rPr>
                <w:rFonts w:hint="eastAsia"/>
                <w:color w:val="auto"/>
              </w:rPr>
              <w:t>216</w:t>
            </w:r>
            <w:r>
              <w:rPr>
                <w:color w:val="auto"/>
              </w:rPr>
              <w:t>m</w:t>
            </w:r>
            <w:r>
              <w:rPr>
                <w:color w:val="auto"/>
                <w:vertAlign w:val="superscript"/>
              </w:rPr>
              <w:t>3</w:t>
            </w:r>
            <w:r>
              <w:rPr>
                <w:color w:val="auto"/>
              </w:rPr>
              <w:t>，其中生活污水由于施工场地内不设临时施工营地，施工人员均为就近村庄人员，不在厂区内食宿。因此其生活污水产生量较小，可直接用于场地泼洒降尘。 车辆冲洗水 216m</w:t>
            </w:r>
            <w:r>
              <w:rPr>
                <w:color w:val="auto"/>
                <w:vertAlign w:val="superscript"/>
              </w:rPr>
              <w:t>3</w:t>
            </w:r>
            <w:r>
              <w:rPr>
                <w:color w:val="auto"/>
              </w:rPr>
              <w:t>，经沉淀池沉淀后（沉淀池容积 3m</w:t>
            </w:r>
            <w:r>
              <w:rPr>
                <w:color w:val="auto"/>
                <w:vertAlign w:val="superscript"/>
              </w:rPr>
              <w:t>3</w:t>
            </w:r>
            <w:r>
              <w:rPr>
                <w:color w:val="auto"/>
              </w:rPr>
              <w:t>），上清液循环用于车辆冲洗，不外排。</w:t>
            </w:r>
          </w:p>
          <w:p>
            <w:pPr>
              <w:ind w:firstLine="480"/>
              <w:rPr>
                <w:color w:val="auto"/>
              </w:rPr>
            </w:pPr>
            <w:r>
              <w:rPr>
                <w:color w:val="auto"/>
              </w:rPr>
              <w:t>综上，项目施工期产生的废水对外环境影响较小。</w:t>
            </w:r>
          </w:p>
          <w:p>
            <w:pPr>
              <w:ind w:firstLine="482"/>
              <w:rPr>
                <w:b/>
                <w:bCs/>
                <w:color w:val="auto"/>
              </w:rPr>
            </w:pPr>
            <w:r>
              <w:rPr>
                <w:rFonts w:hint="eastAsia"/>
                <w:b/>
                <w:bCs/>
                <w:color w:val="auto"/>
              </w:rPr>
              <w:t>3噪声</w:t>
            </w:r>
          </w:p>
          <w:p>
            <w:pPr>
              <w:ind w:firstLine="480"/>
              <w:rPr>
                <w:color w:val="auto"/>
              </w:rPr>
            </w:pPr>
            <w:r>
              <w:rPr>
                <w:color w:val="auto"/>
              </w:rPr>
              <w:t>施工期产生的噪声主要包括机械噪声、施工作业噪声和施工车辆噪声，其中：施工作业噪声级一般在 50～</w:t>
            </w:r>
            <w:r>
              <w:rPr>
                <w:rFonts w:hint="eastAsia"/>
                <w:color w:val="auto"/>
              </w:rPr>
              <w:t>9</w:t>
            </w:r>
            <w:r>
              <w:rPr>
                <w:color w:val="auto"/>
              </w:rPr>
              <w:t>0dB(A)之间，本项目 50m 范围内无声环境敏感点，经几何发散 距离衰减后对周边环境造成的影响较小；施工运输车辆的噪声属于交通噪声，噪声级一般在 80～85dB(A)之间，其噪声的产生具有间断性，通过采取在施工场区减速慢行、禁止鸣笛等措施后，对周边环境造成的影响较小；施工机械噪声较施工作业噪声和施工运输车辆噪声大且更具有连续性，所以，会对环境造成一定的影响。</w:t>
            </w:r>
          </w:p>
          <w:p>
            <w:pPr>
              <w:ind w:firstLine="480"/>
              <w:rPr>
                <w:color w:val="auto"/>
              </w:rPr>
            </w:pPr>
            <w:r>
              <w:rPr>
                <w:rFonts w:hint="eastAsia"/>
                <w:color w:val="auto"/>
              </w:rPr>
              <w:t>为减缓施工噪声的影响，本环评提出如下措施：</w:t>
            </w:r>
          </w:p>
          <w:p>
            <w:pPr>
              <w:ind w:firstLine="480"/>
              <w:rPr>
                <w:color w:val="auto"/>
              </w:rPr>
            </w:pPr>
            <w:r>
              <w:rPr>
                <w:rFonts w:hint="eastAsia"/>
                <w:color w:val="auto"/>
              </w:rPr>
              <w:t>①从声源上控制：选用噪声相对较低的施工机械设备；</w:t>
            </w:r>
          </w:p>
          <w:p>
            <w:pPr>
              <w:ind w:firstLine="480"/>
              <w:rPr>
                <w:color w:val="auto"/>
              </w:rPr>
            </w:pPr>
            <w:r>
              <w:rPr>
                <w:rFonts w:hint="eastAsia"/>
                <w:color w:val="auto"/>
              </w:rPr>
              <w:t>②严禁夜间施工，若必须进行夜间作业，需按要求提前向主管部门申请，并在将施工信息告知周边住户及单位；</w:t>
            </w:r>
          </w:p>
          <w:p>
            <w:pPr>
              <w:ind w:firstLine="480"/>
              <w:rPr>
                <w:color w:val="auto"/>
              </w:rPr>
            </w:pPr>
            <w:r>
              <w:rPr>
                <w:rFonts w:hint="eastAsia"/>
                <w:color w:val="auto"/>
              </w:rPr>
              <w:t>③施工场地内可固定设备应尽量设置在设备专用房或操作间内，避免露天作业；</w:t>
            </w:r>
          </w:p>
          <w:p>
            <w:pPr>
              <w:ind w:firstLine="480"/>
              <w:rPr>
                <w:color w:val="auto"/>
              </w:rPr>
            </w:pPr>
            <w:r>
              <w:rPr>
                <w:rFonts w:hint="eastAsia"/>
                <w:color w:val="auto"/>
              </w:rPr>
              <w:t>④在施工机械的设备与基础或连接部位之间采用弹簧减震、橡胶减震、管道减震、阻尼减震技术，可减少动量，降低噪声；</w:t>
            </w:r>
          </w:p>
          <w:p>
            <w:pPr>
              <w:ind w:firstLine="480"/>
              <w:rPr>
                <w:color w:val="auto"/>
              </w:rPr>
            </w:pPr>
            <w:r>
              <w:rPr>
                <w:rFonts w:hint="eastAsia"/>
                <w:color w:val="auto"/>
              </w:rPr>
              <w:t>⑤施工场地的施工车辆出入地点应尽量远离敏感点，车辆出入现场时应低速、禁鸣；</w:t>
            </w:r>
          </w:p>
          <w:p>
            <w:pPr>
              <w:ind w:firstLine="480"/>
              <w:rPr>
                <w:color w:val="auto"/>
              </w:rPr>
            </w:pPr>
            <w:r>
              <w:rPr>
                <w:rFonts w:hint="eastAsia"/>
                <w:color w:val="auto"/>
              </w:rPr>
              <w:t>⑥加强对施工人员的管理，做到文明施工，避免人为噪声的产生文明施工，避免因施工噪声产生纠纷。</w:t>
            </w:r>
          </w:p>
          <w:p>
            <w:pPr>
              <w:ind w:firstLine="480"/>
              <w:rPr>
                <w:color w:val="auto"/>
              </w:rPr>
            </w:pPr>
            <w:r>
              <w:rPr>
                <w:rFonts w:hint="eastAsia"/>
                <w:color w:val="auto"/>
              </w:rPr>
              <w:t>本项目在采取了上述措施后，施工期噪声对周围环境影响较小。</w:t>
            </w:r>
          </w:p>
          <w:p>
            <w:pPr>
              <w:ind w:firstLine="482"/>
              <w:rPr>
                <w:b/>
                <w:bCs/>
                <w:color w:val="auto"/>
              </w:rPr>
            </w:pPr>
            <w:r>
              <w:rPr>
                <w:rFonts w:hint="eastAsia"/>
                <w:b/>
                <w:bCs/>
                <w:color w:val="auto"/>
              </w:rPr>
              <w:t>4固体废物</w:t>
            </w:r>
          </w:p>
          <w:p>
            <w:pPr>
              <w:ind w:firstLine="480"/>
              <w:rPr>
                <w:rFonts w:hint="eastAsia" w:ascii="宋体" w:hAnsi="宋体" w:cs="宋体"/>
                <w:color w:val="auto"/>
              </w:rPr>
            </w:pPr>
            <w:r>
              <w:rPr>
                <w:rFonts w:ascii="宋体" w:hAnsi="宋体" w:cs="宋体"/>
                <w:color w:val="auto"/>
              </w:rPr>
              <w:t xml:space="preserve">施工期固废主要来源于施工人员产生的生活垃圾、施工过程中产生的少量建筑垃圾以及设备安装过程产生的废弃包装等，如不釆取措施将对周围环境有一定的影响。 </w:t>
            </w:r>
            <w:r>
              <w:rPr>
                <w:rFonts w:hint="eastAsia" w:ascii="宋体" w:hAnsi="宋体" w:cs="宋体"/>
                <w:color w:val="auto"/>
              </w:rPr>
              <w:t xml:space="preserve"> </w:t>
            </w:r>
          </w:p>
          <w:p>
            <w:pPr>
              <w:ind w:firstLine="480"/>
              <w:rPr>
                <w:color w:val="auto"/>
              </w:rPr>
            </w:pPr>
            <w:r>
              <w:rPr>
                <w:color w:val="auto"/>
              </w:rPr>
              <w:t>（1）生活垃圾</w:t>
            </w:r>
          </w:p>
          <w:p>
            <w:pPr>
              <w:ind w:firstLine="480"/>
              <w:rPr>
                <w:color w:val="auto"/>
              </w:rPr>
            </w:pPr>
            <w:r>
              <w:rPr>
                <w:color w:val="auto"/>
              </w:rPr>
              <w:t>本项目生活垃圾主要由施工人员产生，项目施工高峰期施工人员以20 人计，生活垃圾产生量以 0.5kg/人·d 计，则施工期生活垃圾产生量为 10kg/d，施工场地内不设临时施工营地，施工人员均为就近村庄人员，不在厂区内食宿。通过施工现场设置垃圾桶，经分类收集后统一清运至当 地生活垃圾填埋场进行处置。</w:t>
            </w:r>
          </w:p>
          <w:p>
            <w:pPr>
              <w:ind w:left="480" w:leftChars="200" w:firstLine="0" w:firstLineChars="0"/>
              <w:rPr>
                <w:color w:val="auto"/>
              </w:rPr>
            </w:pPr>
            <w:r>
              <w:rPr>
                <w:color w:val="auto"/>
              </w:rPr>
              <w:t>（2）建筑垃圾</w:t>
            </w:r>
          </w:p>
          <w:p>
            <w:pPr>
              <w:ind w:firstLine="480"/>
              <w:rPr>
                <w:color w:val="auto"/>
              </w:rPr>
            </w:pPr>
            <w:r>
              <w:rPr>
                <w:color w:val="auto"/>
              </w:rPr>
              <w:t>施工过程产生的建筑垃圾主要为废混凝土渣、废砖等，其产生量约为 2t，经收集后能回收利用的尽量回收利用，不能回收利用的运往指定的建 筑垃圾处置场所，安全处置。设备安装过程中产生的废弃包装经分类收集后外售处置。</w:t>
            </w:r>
          </w:p>
          <w:p>
            <w:pPr>
              <w:ind w:firstLine="480"/>
              <w:rPr>
                <w:color w:val="auto"/>
              </w:rPr>
            </w:pPr>
            <w:r>
              <w:rPr>
                <w:color w:val="auto"/>
              </w:rPr>
              <w:t>（3）废弃包装材料</w:t>
            </w:r>
          </w:p>
          <w:p>
            <w:pPr>
              <w:ind w:firstLine="480"/>
              <w:rPr>
                <w:color w:val="auto"/>
              </w:rPr>
            </w:pPr>
            <w:r>
              <w:rPr>
                <w:color w:val="auto"/>
              </w:rPr>
              <w:t>本项目设备安装过程中产生的废弃包装材料约为 1t，能回收利用的 尽量回收利用，不能回收利用的运往指定的建筑垃圾处置场所，安全处置。 综上本项目施工期固废主要为生活垃圾、建筑垃圾及废弃包装材料， 产生量分别为生活垃圾 1.8t、建筑垃圾2t、废弃包装材料 1t，生活垃 圾经分类收集后，统一清运至</w:t>
            </w:r>
            <w:r>
              <w:rPr>
                <w:rFonts w:hint="eastAsia"/>
                <w:color w:val="auto"/>
              </w:rPr>
              <w:t>同德县</w:t>
            </w:r>
            <w:r>
              <w:rPr>
                <w:color w:val="auto"/>
              </w:rPr>
              <w:t>生活垃圾填埋场卫生填埋。建筑垃圾 经收集后能回收利用的尽量回收利用，不能回收利用的运往指定的建筑垃 圾处置场所，安全处置。本项目设备安装过程中产生的废弃包装材料能回 收利用的尽量回收利用，不能回收利用的运往指定的建筑垃圾处置场所，安全处置。</w:t>
            </w:r>
          </w:p>
          <w:p>
            <w:pPr>
              <w:ind w:firstLine="480"/>
              <w:rPr>
                <w:color w:val="auto"/>
              </w:rPr>
            </w:pPr>
            <w:r>
              <w:rPr>
                <w:color w:val="auto"/>
              </w:rPr>
              <w:t>综上分析，施工期固体废弃物产生量较少，处置方式合理、可行，去向明确，处置率达到 100%，对周围环境影响不大。</w:t>
            </w:r>
          </w:p>
          <w:p>
            <w:pPr>
              <w:ind w:firstLine="482"/>
              <w:rPr>
                <w:b/>
                <w:bCs/>
                <w:color w:val="auto"/>
              </w:rPr>
            </w:pPr>
            <w:r>
              <w:rPr>
                <w:rFonts w:hint="eastAsia"/>
                <w:b/>
                <w:bCs/>
                <w:color w:val="auto"/>
              </w:rPr>
              <w:t xml:space="preserve">5施工期生态环境保护措施 </w:t>
            </w:r>
          </w:p>
          <w:p>
            <w:pPr>
              <w:ind w:firstLine="480"/>
              <w:rPr>
                <w:color w:val="auto"/>
              </w:rPr>
            </w:pPr>
            <w:r>
              <w:rPr>
                <w:rFonts w:hint="eastAsia"/>
                <w:color w:val="auto"/>
              </w:rPr>
              <w:t xml:space="preserve">项目施工期生态影响主要是植被破坏与土壤流失。采取的生态保护措施主要有： </w:t>
            </w:r>
          </w:p>
          <w:p>
            <w:pPr>
              <w:ind w:firstLine="480"/>
              <w:rPr>
                <w:color w:val="auto"/>
              </w:rPr>
            </w:pPr>
            <w:r>
              <w:rPr>
                <w:rFonts w:hint="eastAsia"/>
                <w:color w:val="auto"/>
              </w:rPr>
              <w:t>(1)施工期挖方采取分层开挖、分层堆放、分层回填的方式，将表层土、底层土分开堆放，尽量将表土方用于厂区绿化覆土，保证土壤肥力不下降。</w:t>
            </w:r>
          </w:p>
          <w:p>
            <w:pPr>
              <w:ind w:firstLine="480"/>
              <w:rPr>
                <w:color w:val="auto"/>
              </w:rPr>
            </w:pPr>
            <w:r>
              <w:rPr>
                <w:rFonts w:hint="eastAsia"/>
                <w:color w:val="auto"/>
              </w:rPr>
              <w:t xml:space="preserve">(2)尽量缩短施工期，避开雨季，减少土地裸露，防止水土流失。 </w:t>
            </w:r>
          </w:p>
          <w:p>
            <w:pPr>
              <w:ind w:firstLine="480"/>
              <w:rPr>
                <w:color w:val="auto"/>
              </w:rPr>
            </w:pPr>
            <w:r>
              <w:rPr>
                <w:rFonts w:hint="eastAsia"/>
                <w:color w:val="auto"/>
              </w:rPr>
              <w:t xml:space="preserve">(3)施工过程产生的土方，应堆放至合理临时堆放点，并采取防尘网苫盖、洒水抑尘等措施，施工完成后及时回填。 </w:t>
            </w:r>
          </w:p>
          <w:p>
            <w:pPr>
              <w:pStyle w:val="2"/>
              <w:ind w:firstLine="480"/>
              <w:rPr>
                <w:color w:val="auto"/>
                <w:sz w:val="24"/>
              </w:rPr>
            </w:pPr>
          </w:p>
          <w:p>
            <w:pPr>
              <w:pStyle w:val="2"/>
              <w:ind w:firstLine="480"/>
              <w:rPr>
                <w:color w:val="auto"/>
                <w:sz w:val="24"/>
              </w:rPr>
            </w:pPr>
          </w:p>
          <w:p>
            <w:pPr>
              <w:pStyle w:val="2"/>
              <w:ind w:firstLine="480"/>
              <w:rPr>
                <w:color w:val="auto"/>
                <w:sz w:val="24"/>
              </w:rPr>
            </w:pPr>
          </w:p>
          <w:p>
            <w:pPr>
              <w:pStyle w:val="2"/>
              <w:ind w:firstLine="480"/>
              <w:rPr>
                <w:color w:val="auto"/>
                <w:sz w:val="24"/>
              </w:rPr>
            </w:pPr>
          </w:p>
          <w:p>
            <w:pPr>
              <w:pStyle w:val="2"/>
              <w:ind w:firstLine="480"/>
              <w:rPr>
                <w:color w:val="auto"/>
                <w:sz w:val="24"/>
              </w:rPr>
            </w:pPr>
          </w:p>
          <w:p>
            <w:pPr>
              <w:ind w:firstLine="0" w:firstLineChars="0"/>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35" w:hRule="atLeast"/>
          <w:jc w:val="center"/>
        </w:trPr>
        <w:tc>
          <w:tcPr>
            <w:tcW w:w="300" w:type="pct"/>
            <w:tcMar>
              <w:left w:w="28" w:type="dxa"/>
              <w:right w:w="28" w:type="dxa"/>
            </w:tcMar>
            <w:vAlign w:val="center"/>
          </w:tcPr>
          <w:p>
            <w:pPr>
              <w:pStyle w:val="55"/>
              <w:widowControl/>
              <w:rPr>
                <w:color w:val="auto"/>
              </w:rPr>
            </w:pPr>
          </w:p>
          <w:p>
            <w:pPr>
              <w:ind w:firstLine="480"/>
              <w:rPr>
                <w:color w:val="auto"/>
              </w:rPr>
            </w:pPr>
          </w:p>
          <w:p>
            <w:pPr>
              <w:pStyle w:val="40"/>
              <w:ind w:firstLine="480"/>
              <w:rPr>
                <w:rFonts w:hint="eastAsia"/>
                <w:color w:val="auto"/>
              </w:rPr>
            </w:pPr>
          </w:p>
          <w:p>
            <w:pPr>
              <w:pStyle w:val="40"/>
              <w:ind w:firstLine="480"/>
              <w:rPr>
                <w:rFonts w:hint="eastAsia"/>
                <w:color w:val="auto"/>
              </w:rPr>
            </w:pPr>
          </w:p>
        </w:tc>
        <w:tc>
          <w:tcPr>
            <w:tcW w:w="4699" w:type="pct"/>
            <w:vAlign w:val="center"/>
          </w:tcPr>
          <w:p>
            <w:pPr>
              <w:pStyle w:val="3"/>
              <w:jc w:val="both"/>
              <w:rPr>
                <w:color w:val="auto"/>
              </w:rPr>
            </w:pPr>
            <w:r>
              <w:rPr>
                <w:rFonts w:hint="eastAsia"/>
                <w:color w:val="auto"/>
              </w:rPr>
              <w:t>1废气影响分析</w:t>
            </w:r>
          </w:p>
          <w:p>
            <w:pPr>
              <w:ind w:firstLine="480"/>
              <w:rPr>
                <w:color w:val="auto"/>
              </w:rPr>
            </w:pPr>
            <w:r>
              <w:rPr>
                <w:rFonts w:hint="eastAsia"/>
                <w:color w:val="auto"/>
              </w:rPr>
              <w:t>见大气专项分析。</w:t>
            </w:r>
          </w:p>
          <w:p>
            <w:pPr>
              <w:pStyle w:val="4"/>
              <w:rPr>
                <w:color w:val="auto"/>
              </w:rPr>
            </w:pPr>
            <w:r>
              <w:rPr>
                <w:rFonts w:hint="eastAsia"/>
                <w:color w:val="auto"/>
              </w:rPr>
              <w:t>2水环境影响分析</w:t>
            </w:r>
          </w:p>
          <w:p>
            <w:pPr>
              <w:ind w:firstLine="480"/>
              <w:rPr>
                <w:color w:val="auto"/>
              </w:rPr>
            </w:pPr>
            <w:r>
              <w:rPr>
                <w:rFonts w:hint="eastAsia"/>
                <w:color w:val="auto"/>
              </w:rPr>
              <w:t>项目产生的废水主要为生活污水、清洗废水及厂区内收集的初期雨水。</w:t>
            </w:r>
          </w:p>
          <w:p>
            <w:pPr>
              <w:pStyle w:val="5"/>
              <w:ind w:firstLine="281"/>
              <w:rPr>
                <w:color w:val="auto"/>
              </w:rPr>
            </w:pPr>
            <w:r>
              <w:rPr>
                <w:rFonts w:hint="eastAsia"/>
                <w:color w:val="auto"/>
              </w:rPr>
              <w:t>2.1生活污水</w:t>
            </w:r>
          </w:p>
          <w:p>
            <w:pPr>
              <w:ind w:firstLine="480"/>
              <w:rPr>
                <w:color w:val="auto"/>
              </w:rPr>
            </w:pPr>
            <w:r>
              <w:rPr>
                <w:rFonts w:hint="eastAsia"/>
                <w:color w:val="auto"/>
              </w:rPr>
              <w:t>本项目运营期员工共40人，厂内设置食堂，产生的污水水质参照同类型项目指标及青海省用水定额和项目实际，工作用水定额按0.2m</w:t>
            </w:r>
            <w:r>
              <w:rPr>
                <w:rFonts w:hint="eastAsia"/>
                <w:color w:val="auto"/>
                <w:vertAlign w:val="superscript"/>
              </w:rPr>
              <w:t>3</w:t>
            </w:r>
            <w:r>
              <w:rPr>
                <w:rFonts w:hint="eastAsia"/>
                <w:color w:val="auto"/>
              </w:rPr>
              <w:t>/人•d计算，其污水排放系数0.8，则项目每日排放污水量为6.4m</w:t>
            </w:r>
            <w:r>
              <w:rPr>
                <w:rFonts w:hint="eastAsia"/>
                <w:color w:val="auto"/>
                <w:vertAlign w:val="superscript"/>
              </w:rPr>
              <w:t>3</w:t>
            </w:r>
            <w:r>
              <w:rPr>
                <w:rFonts w:hint="eastAsia"/>
                <w:color w:val="auto"/>
              </w:rPr>
              <w:t>/d，年工作360天，共产生生活污水2304m</w:t>
            </w:r>
            <w:r>
              <w:rPr>
                <w:rFonts w:hint="eastAsia"/>
                <w:color w:val="auto"/>
                <w:vertAlign w:val="superscript"/>
              </w:rPr>
              <w:t>3</w:t>
            </w:r>
            <w:r>
              <w:rPr>
                <w:rFonts w:hint="eastAsia"/>
                <w:color w:val="auto"/>
              </w:rPr>
              <w:t>/a。生活污水水质主要污染因子为COD、BOD</w:t>
            </w:r>
            <w:r>
              <w:rPr>
                <w:rFonts w:hint="eastAsia"/>
                <w:color w:val="auto"/>
                <w:vertAlign w:val="subscript"/>
              </w:rPr>
              <w:t>5</w:t>
            </w:r>
            <w:r>
              <w:rPr>
                <w:rFonts w:hint="eastAsia"/>
                <w:color w:val="auto"/>
              </w:rPr>
              <w:t>、NH</w:t>
            </w:r>
            <w:r>
              <w:rPr>
                <w:rFonts w:hint="eastAsia"/>
                <w:color w:val="auto"/>
                <w:vertAlign w:val="subscript"/>
              </w:rPr>
              <w:t>3</w:t>
            </w:r>
            <w:r>
              <w:rPr>
                <w:rFonts w:hint="eastAsia"/>
                <w:color w:val="auto"/>
              </w:rPr>
              <w:t>-N、动植物油和SS等，</w:t>
            </w:r>
            <w:r>
              <w:rPr>
                <w:color w:val="auto"/>
              </w:rPr>
              <w:t>本项目产生的生活污水经化隔油池和粪池预处理后</w:t>
            </w:r>
            <w:r>
              <w:rPr>
                <w:rFonts w:hint="eastAsia"/>
                <w:color w:val="auto"/>
              </w:rPr>
              <w:t>排入</w:t>
            </w:r>
            <w:r>
              <w:rPr>
                <w:color w:val="auto"/>
              </w:rPr>
              <w:t>污水管网</w:t>
            </w:r>
            <w:r>
              <w:rPr>
                <w:rFonts w:hint="eastAsia"/>
                <w:color w:val="auto"/>
              </w:rPr>
              <w:t>，</w:t>
            </w:r>
            <w:r>
              <w:rPr>
                <w:color w:val="auto"/>
              </w:rPr>
              <w:t>排放浓度满足《污水排入城镇下水道水质标准》（GB/T31962-2015）中的B级标准</w:t>
            </w:r>
            <w:r>
              <w:rPr>
                <w:rFonts w:hint="eastAsia"/>
                <w:color w:val="auto"/>
              </w:rPr>
              <w:t>。</w:t>
            </w:r>
          </w:p>
          <w:p>
            <w:pPr>
              <w:ind w:firstLine="480"/>
              <w:rPr>
                <w:color w:val="auto"/>
              </w:rPr>
            </w:pPr>
            <w:r>
              <w:rPr>
                <w:rFonts w:hint="eastAsia" w:ascii="宋体" w:hAnsi="宋体" w:cs="宋体"/>
                <w:color w:val="auto"/>
              </w:rPr>
              <w:t>厂区</w:t>
            </w:r>
            <w:r>
              <w:rPr>
                <w:color w:val="auto"/>
              </w:rPr>
              <w:t>拟新建一座隔油池和化粪池，项目共</w:t>
            </w:r>
            <w:r>
              <w:rPr>
                <w:rFonts w:hint="eastAsia"/>
                <w:color w:val="auto"/>
              </w:rPr>
              <w:t>设置</w:t>
            </w:r>
            <w:r>
              <w:rPr>
                <w:color w:val="auto"/>
              </w:rPr>
              <w:t>食堂废水隔油池（</w:t>
            </w:r>
            <w:r>
              <w:rPr>
                <w:rFonts w:hint="eastAsia"/>
                <w:color w:val="auto"/>
              </w:rPr>
              <w:t>30</w:t>
            </w:r>
            <w:r>
              <w:rPr>
                <w:color w:val="auto"/>
              </w:rPr>
              <w:t>m</w:t>
            </w:r>
            <w:r>
              <w:rPr>
                <w:color w:val="auto"/>
                <w:vertAlign w:val="superscript"/>
              </w:rPr>
              <w:t>3</w:t>
            </w:r>
            <w:r>
              <w:rPr>
                <w:color w:val="auto"/>
              </w:rPr>
              <w:t>）</w:t>
            </w:r>
            <w:r>
              <w:rPr>
                <w:rFonts w:hint="eastAsia"/>
                <w:color w:val="auto"/>
              </w:rPr>
              <w:t>1座，</w:t>
            </w:r>
            <w:r>
              <w:rPr>
                <w:color w:val="auto"/>
              </w:rPr>
              <w:t>设置玻璃钢化粪池2个，单个容积为50m</w:t>
            </w:r>
            <w:r>
              <w:rPr>
                <w:color w:val="auto"/>
                <w:vertAlign w:val="superscript"/>
              </w:rPr>
              <w:t>3</w:t>
            </w:r>
            <w:r>
              <w:rPr>
                <w:color w:val="auto"/>
              </w:rPr>
              <w:t>，可以满足生活污水预处理要求，废水有合理处置路径，不会对周围水环境产生影响。</w:t>
            </w:r>
          </w:p>
          <w:p>
            <w:pPr>
              <w:pStyle w:val="5"/>
              <w:ind w:firstLine="281"/>
              <w:rPr>
                <w:color w:val="auto"/>
              </w:rPr>
            </w:pPr>
            <w:r>
              <w:rPr>
                <w:rFonts w:hint="eastAsia"/>
                <w:color w:val="auto"/>
              </w:rPr>
              <w:t>2.2初期雨水</w:t>
            </w:r>
          </w:p>
          <w:p>
            <w:pPr>
              <w:pStyle w:val="88"/>
              <w:ind w:firstLine="480"/>
              <w:rPr>
                <w:color w:val="auto"/>
              </w:rPr>
            </w:pPr>
            <w:r>
              <w:rPr>
                <w:color w:val="auto"/>
              </w:rPr>
              <w:t xml:space="preserve">项目区初期雨水经雨水沟渠引至项目区沉淀池中，进行自然沉降，水池上清液回用于生产。收集下雨期间前 </w:t>
            </w:r>
            <w:r>
              <w:rPr>
                <w:rFonts w:hint="eastAsia"/>
                <w:color w:val="auto"/>
              </w:rPr>
              <w:t>15</w:t>
            </w:r>
            <w:r>
              <w:rPr>
                <w:color w:val="auto"/>
              </w:rPr>
              <w:t xml:space="preserve"> 分钟的雨水，根据</w:t>
            </w:r>
            <w:r>
              <w:rPr>
                <w:rFonts w:hint="eastAsia"/>
                <w:color w:val="auto"/>
              </w:rPr>
              <w:t>同德县</w:t>
            </w:r>
            <w:r>
              <w:rPr>
                <w:color w:val="auto"/>
              </w:rPr>
              <w:t xml:space="preserve">历年气象资料，最大小时降雨量为 </w:t>
            </w:r>
            <w:r>
              <w:rPr>
                <w:rFonts w:hint="eastAsia"/>
                <w:color w:val="auto"/>
              </w:rPr>
              <w:t>31.4</w:t>
            </w:r>
            <w:r>
              <w:rPr>
                <w:color w:val="auto"/>
              </w:rPr>
              <w:t xml:space="preserve">mm，初期雨水降雨时间按 15min 计，项目汇水面积约为 </w:t>
            </w:r>
            <w:r>
              <w:rPr>
                <w:rFonts w:hint="eastAsia"/>
                <w:color w:val="auto"/>
              </w:rPr>
              <w:t>1100</w:t>
            </w:r>
            <w:r>
              <w:rPr>
                <w:color w:val="auto"/>
              </w:rPr>
              <w:t>0m</w:t>
            </w:r>
            <w:r>
              <w:rPr>
                <w:color w:val="auto"/>
                <w:vertAlign w:val="superscript"/>
              </w:rPr>
              <w:t>2</w:t>
            </w:r>
            <w:r>
              <w:rPr>
                <w:color w:val="auto"/>
              </w:rPr>
              <w:t>，径流系数取 0.9，经计算，</w:t>
            </w:r>
            <w:r>
              <w:rPr>
                <w:rFonts w:hint="eastAsia"/>
                <w:color w:val="auto"/>
              </w:rPr>
              <w:t>全厂</w:t>
            </w:r>
            <w:r>
              <w:rPr>
                <w:color w:val="auto"/>
              </w:rPr>
              <w:t>初期</w:t>
            </w:r>
            <w:r>
              <w:rPr>
                <w:rFonts w:hint="eastAsia"/>
                <w:color w:val="auto"/>
              </w:rPr>
              <w:t>15</w:t>
            </w:r>
            <w:r>
              <w:rPr>
                <w:color w:val="auto"/>
              </w:rPr>
              <w:t>分钟雨水总量约为</w:t>
            </w:r>
            <w:r>
              <w:rPr>
                <w:rFonts w:hint="eastAsia"/>
                <w:color w:val="auto"/>
              </w:rPr>
              <w:t>77.7</w:t>
            </w:r>
            <w:r>
              <w:rPr>
                <w:color w:val="auto"/>
              </w:rPr>
              <w:t>m</w:t>
            </w:r>
            <w:r>
              <w:rPr>
                <w:color w:val="auto"/>
                <w:vertAlign w:val="superscript"/>
              </w:rPr>
              <w:t>3</w:t>
            </w:r>
            <w:r>
              <w:rPr>
                <w:rFonts w:hint="eastAsia"/>
                <w:color w:val="auto"/>
              </w:rPr>
              <w:t>。</w:t>
            </w:r>
            <w:r>
              <w:rPr>
                <w:color w:val="auto"/>
              </w:rPr>
              <w:t>初期雨水主要污染因子为SS、COD</w:t>
            </w:r>
            <w:r>
              <w:rPr>
                <w:rFonts w:hint="eastAsia"/>
                <w:color w:val="auto"/>
              </w:rPr>
              <w:t>，企业厂区地势最低处</w:t>
            </w:r>
            <w:r>
              <w:rPr>
                <w:color w:val="auto"/>
              </w:rPr>
              <w:t>设置1座</w:t>
            </w:r>
            <w:r>
              <w:rPr>
                <w:rFonts w:hint="eastAsia"/>
                <w:color w:val="auto"/>
              </w:rPr>
              <w:t>90</w:t>
            </w:r>
            <w:r>
              <w:rPr>
                <w:color w:val="auto"/>
              </w:rPr>
              <w:t>m</w:t>
            </w:r>
            <w:r>
              <w:rPr>
                <w:color w:val="auto"/>
                <w:vertAlign w:val="superscript"/>
              </w:rPr>
              <w:t>3</w:t>
            </w:r>
            <w:r>
              <w:rPr>
                <w:rFonts w:hint="eastAsia"/>
                <w:color w:val="auto"/>
              </w:rPr>
              <w:t>初期雨水收集池，初期雨水收集池池底及池壁均使用HDPE进行防渗，能够满足收集要求</w:t>
            </w:r>
            <w:r>
              <w:rPr>
                <w:color w:val="auto"/>
              </w:rPr>
              <w:t>。</w:t>
            </w:r>
            <w:r>
              <w:rPr>
                <w:rFonts w:hint="eastAsia"/>
                <w:color w:val="auto"/>
              </w:rPr>
              <w:t>初期雨水经雨水收集池收集沉淀后用作项目料场内降尘用水。</w:t>
            </w:r>
          </w:p>
          <w:p>
            <w:pPr>
              <w:pStyle w:val="5"/>
              <w:ind w:firstLine="281"/>
              <w:rPr>
                <w:color w:val="auto"/>
              </w:rPr>
            </w:pPr>
            <w:r>
              <w:rPr>
                <w:rFonts w:hint="eastAsia"/>
                <w:color w:val="auto"/>
              </w:rPr>
              <w:t>2.3清洗废水</w:t>
            </w:r>
          </w:p>
          <w:p>
            <w:pPr>
              <w:ind w:firstLine="484"/>
              <w:rPr>
                <w:color w:val="auto"/>
                <w:spacing w:val="1"/>
              </w:rPr>
            </w:pPr>
            <w:r>
              <w:rPr>
                <w:color w:val="auto"/>
                <w:spacing w:val="1"/>
              </w:rPr>
              <w:t>运输车辆进出厂区需要保持车辆的清洁，以减少扬尘的产生量。因此，运输车进出厂区等环节，</w:t>
            </w:r>
            <w:r>
              <w:rPr>
                <w:rFonts w:hint="eastAsia"/>
                <w:color w:val="auto"/>
                <w:spacing w:val="1"/>
              </w:rPr>
              <w:t>厂区内设置洗车平台，</w:t>
            </w:r>
            <w:r>
              <w:rPr>
                <w:color w:val="auto"/>
                <w:spacing w:val="1"/>
              </w:rPr>
              <w:t>对车辆进行冲洗。</w:t>
            </w:r>
          </w:p>
          <w:p>
            <w:pPr>
              <w:ind w:firstLine="480"/>
              <w:rPr>
                <w:color w:val="auto"/>
                <w:szCs w:val="32"/>
              </w:rPr>
            </w:pPr>
            <w:r>
              <w:rPr>
                <w:rFonts w:hint="eastAsia"/>
                <w:color w:val="auto"/>
                <w:szCs w:val="32"/>
              </w:rPr>
              <w:t>①搅拌机清洗水</w:t>
            </w:r>
          </w:p>
          <w:p>
            <w:pPr>
              <w:ind w:firstLine="480"/>
              <w:rPr>
                <w:color w:val="auto"/>
                <w:szCs w:val="32"/>
              </w:rPr>
            </w:pPr>
            <w:r>
              <w:rPr>
                <w:rFonts w:hint="eastAsia"/>
                <w:color w:val="auto"/>
                <w:szCs w:val="32"/>
              </w:rPr>
              <w:t>搅拌机为本项目主要生产设备，项目设置搅拌机组座，项目生产过程中，由于生产原因或设备需要检修搅拌机停止生产时，为了不使混凝土凝结于搅拌机内，影响生产，必须对混凝土进行搅拌机进行冲洗。每台搅拌机平均每天冲洗一次，按每次冲洗水2.0m</w:t>
            </w:r>
            <w:r>
              <w:rPr>
                <w:rFonts w:hint="eastAsia"/>
                <w:color w:val="auto"/>
                <w:szCs w:val="32"/>
                <w:vertAlign w:val="superscript"/>
              </w:rPr>
              <w:t>3</w:t>
            </w:r>
            <w:r>
              <w:rPr>
                <w:rFonts w:hint="eastAsia"/>
                <w:color w:val="auto"/>
                <w:szCs w:val="32"/>
              </w:rPr>
              <w:t>，则项目搅拌机冲洗水量为4m</w:t>
            </w:r>
            <w:r>
              <w:rPr>
                <w:rFonts w:hint="eastAsia"/>
                <w:color w:val="auto"/>
                <w:szCs w:val="32"/>
                <w:vertAlign w:val="superscript"/>
              </w:rPr>
              <w:t>3</w:t>
            </w:r>
            <w:r>
              <w:rPr>
                <w:rFonts w:hint="eastAsia"/>
                <w:color w:val="auto"/>
                <w:szCs w:val="32"/>
              </w:rPr>
              <w:t>/d，排放系数0.9计，废水量为3.6m</w:t>
            </w:r>
            <w:r>
              <w:rPr>
                <w:rFonts w:hint="eastAsia"/>
                <w:color w:val="auto"/>
                <w:szCs w:val="32"/>
                <w:vertAlign w:val="superscript"/>
              </w:rPr>
              <w:t>3</w:t>
            </w:r>
            <w:r>
              <w:rPr>
                <w:rFonts w:hint="eastAsia"/>
                <w:color w:val="auto"/>
                <w:szCs w:val="32"/>
              </w:rPr>
              <w:t>/d，1080m</w:t>
            </w:r>
            <w:r>
              <w:rPr>
                <w:rFonts w:hint="eastAsia"/>
                <w:color w:val="auto"/>
                <w:szCs w:val="32"/>
                <w:vertAlign w:val="superscript"/>
              </w:rPr>
              <w:t>3</w:t>
            </w:r>
            <w:r>
              <w:rPr>
                <w:rFonts w:hint="eastAsia"/>
                <w:color w:val="auto"/>
                <w:szCs w:val="32"/>
              </w:rPr>
              <w:t>/a（年工作300天）。主要污染因子为SS。废水夹带残留混凝土排出。SS含量约为3000mg/L，SS产生量3.24t/a。按混凝土生产线摆放位置，搅拌机冲洗废水沿着搅拌机下料口流出，经沟渠排放至沉淀池（100m</w:t>
            </w:r>
            <w:r>
              <w:rPr>
                <w:rFonts w:hint="eastAsia"/>
                <w:color w:val="auto"/>
                <w:szCs w:val="32"/>
                <w:vertAlign w:val="superscript"/>
              </w:rPr>
              <w:t>3</w:t>
            </w:r>
            <w:r>
              <w:rPr>
                <w:rFonts w:hint="eastAsia"/>
                <w:color w:val="auto"/>
                <w:szCs w:val="32"/>
              </w:rPr>
              <w:t>），经沉淀返回生产，搅拌机冲洗废水不外排。</w:t>
            </w:r>
          </w:p>
          <w:p>
            <w:pPr>
              <w:ind w:firstLine="480"/>
              <w:rPr>
                <w:color w:val="auto"/>
                <w:szCs w:val="32"/>
              </w:rPr>
            </w:pPr>
            <w:r>
              <w:rPr>
                <w:rFonts w:hint="eastAsia"/>
                <w:color w:val="auto"/>
                <w:szCs w:val="32"/>
              </w:rPr>
              <w:t>②混凝土运输车辆清洗水</w:t>
            </w:r>
          </w:p>
          <w:p>
            <w:pPr>
              <w:ind w:firstLine="480"/>
              <w:rPr>
                <w:color w:val="auto"/>
              </w:rPr>
            </w:pPr>
            <w:r>
              <w:rPr>
                <w:rFonts w:hint="eastAsia"/>
                <w:color w:val="auto"/>
                <w:szCs w:val="32"/>
              </w:rPr>
              <w:t>按本项目规模为年产商品混凝土10万m3，混凝土销售量平均300m</w:t>
            </w:r>
            <w:r>
              <w:rPr>
                <w:rFonts w:hint="eastAsia"/>
                <w:color w:val="auto"/>
                <w:szCs w:val="32"/>
                <w:vertAlign w:val="superscript"/>
              </w:rPr>
              <w:t>3</w:t>
            </w:r>
            <w:r>
              <w:rPr>
                <w:rFonts w:hint="eastAsia"/>
                <w:color w:val="auto"/>
                <w:szCs w:val="32"/>
              </w:rPr>
              <w:t>/d计算，项目混凝土罐车核载运输量为10m</w:t>
            </w:r>
            <w:r>
              <w:rPr>
                <w:rFonts w:hint="eastAsia"/>
                <w:color w:val="auto"/>
                <w:szCs w:val="32"/>
                <w:vertAlign w:val="superscript"/>
              </w:rPr>
              <w:t>3</w:t>
            </w:r>
            <w:r>
              <w:rPr>
                <w:rFonts w:hint="eastAsia"/>
                <w:color w:val="auto"/>
                <w:szCs w:val="32"/>
              </w:rPr>
              <w:t>，约需运输30辆/天。混凝土运输车每次运输均需清洗一次，据类比相关项目数据，实际冲洗水量约为0.5m³/辆·次，日用水量15m</w:t>
            </w:r>
            <w:r>
              <w:rPr>
                <w:rFonts w:hint="eastAsia"/>
                <w:color w:val="auto"/>
                <w:szCs w:val="32"/>
                <w:vertAlign w:val="superscript"/>
              </w:rPr>
              <w:t>3</w:t>
            </w:r>
            <w:r>
              <w:rPr>
                <w:rFonts w:hint="eastAsia"/>
                <w:color w:val="auto"/>
                <w:szCs w:val="32"/>
              </w:rPr>
              <w:t>，排放系数按0.9计，全天产生量为13.5m</w:t>
            </w:r>
            <w:r>
              <w:rPr>
                <w:rFonts w:hint="eastAsia"/>
                <w:color w:val="auto"/>
                <w:szCs w:val="32"/>
                <w:vertAlign w:val="superscript"/>
              </w:rPr>
              <w:t>3</w:t>
            </w:r>
            <w:r>
              <w:rPr>
                <w:rFonts w:hint="eastAsia"/>
                <w:color w:val="auto"/>
                <w:szCs w:val="32"/>
              </w:rPr>
              <w:t>/d（4860m</w:t>
            </w:r>
            <w:r>
              <w:rPr>
                <w:rFonts w:hint="eastAsia"/>
                <w:color w:val="auto"/>
                <w:szCs w:val="32"/>
                <w:vertAlign w:val="superscript"/>
              </w:rPr>
              <w:t>3</w:t>
            </w:r>
            <w:r>
              <w:rPr>
                <w:rFonts w:hint="eastAsia"/>
                <w:color w:val="auto"/>
                <w:szCs w:val="32"/>
              </w:rPr>
              <w:t>/a），车辆清洗废水经沉淀池（100m</w:t>
            </w:r>
            <w:r>
              <w:rPr>
                <w:rFonts w:hint="eastAsia"/>
                <w:color w:val="auto"/>
                <w:szCs w:val="32"/>
                <w:vertAlign w:val="superscript"/>
              </w:rPr>
              <w:t>3</w:t>
            </w:r>
            <w:r>
              <w:rPr>
                <w:rFonts w:hint="eastAsia"/>
                <w:color w:val="auto"/>
                <w:szCs w:val="32"/>
              </w:rPr>
              <w:t>），经沉淀后由泵抽至搅拌机下方蓄水池，经收集后返回生产，搅拌机冲洗废水不外排。</w:t>
            </w:r>
          </w:p>
          <w:p>
            <w:pPr>
              <w:ind w:firstLine="480"/>
              <w:rPr>
                <w:color w:val="auto"/>
              </w:rPr>
            </w:pPr>
            <w:r>
              <w:rPr>
                <w:rFonts w:hint="eastAsia"/>
                <w:color w:val="auto"/>
              </w:rPr>
              <w:t>③商品混凝土作业区地面冲洗水</w:t>
            </w:r>
          </w:p>
          <w:p>
            <w:pPr>
              <w:ind w:firstLine="480"/>
              <w:rPr>
                <w:color w:val="auto"/>
              </w:rPr>
            </w:pPr>
            <w:r>
              <w:rPr>
                <w:rFonts w:hint="eastAsia"/>
                <w:color w:val="auto"/>
              </w:rPr>
              <w:t>搅拌工作区及冲车区域面积约200m</w:t>
            </w:r>
            <w:r>
              <w:rPr>
                <w:rFonts w:hint="eastAsia"/>
                <w:color w:val="auto"/>
                <w:vertAlign w:val="superscript"/>
              </w:rPr>
              <w:t>2</w:t>
            </w:r>
            <w:r>
              <w:rPr>
                <w:rFonts w:hint="eastAsia"/>
                <w:color w:val="auto"/>
              </w:rPr>
              <w:t>，冲洗水量按1.0m</w:t>
            </w:r>
            <w:r>
              <w:rPr>
                <w:rFonts w:hint="eastAsia"/>
                <w:color w:val="auto"/>
                <w:vertAlign w:val="superscript"/>
              </w:rPr>
              <w:t>3</w:t>
            </w:r>
            <w:r>
              <w:rPr>
                <w:rFonts w:hint="eastAsia"/>
                <w:color w:val="auto"/>
              </w:rPr>
              <w:t>/100m</w:t>
            </w:r>
            <w:r>
              <w:rPr>
                <w:rFonts w:hint="eastAsia"/>
                <w:color w:val="auto"/>
                <w:vertAlign w:val="superscript"/>
              </w:rPr>
              <w:t>2</w:t>
            </w:r>
            <w:r>
              <w:rPr>
                <w:rFonts w:hint="eastAsia"/>
                <w:color w:val="auto"/>
              </w:rPr>
              <w:t>.d计，冲洗用水量为2m</w:t>
            </w:r>
            <w:r>
              <w:rPr>
                <w:rFonts w:hint="eastAsia"/>
                <w:color w:val="auto"/>
                <w:vertAlign w:val="superscript"/>
              </w:rPr>
              <w:t>3</w:t>
            </w:r>
            <w:r>
              <w:rPr>
                <w:rFonts w:hint="eastAsia"/>
                <w:color w:val="auto"/>
              </w:rPr>
              <w:t>/d，排放系数按0.9计，产生量1.8m</w:t>
            </w:r>
            <w:r>
              <w:rPr>
                <w:rFonts w:hint="eastAsia"/>
                <w:color w:val="auto"/>
                <w:vertAlign w:val="superscript"/>
              </w:rPr>
              <w:t>3</w:t>
            </w:r>
            <w:r>
              <w:rPr>
                <w:rFonts w:hint="eastAsia"/>
                <w:color w:val="auto"/>
              </w:rPr>
              <w:t>/d，270m</w:t>
            </w:r>
            <w:r>
              <w:rPr>
                <w:rFonts w:hint="eastAsia"/>
                <w:color w:val="auto"/>
                <w:vertAlign w:val="superscript"/>
              </w:rPr>
              <w:t>3</w:t>
            </w:r>
            <w:r>
              <w:rPr>
                <w:rFonts w:hint="eastAsia"/>
                <w:color w:val="auto"/>
              </w:rPr>
              <w:t>/a；作业区地面清洗废水经沟渠排放至项目沉淀池，经沉淀后的上清液返回生产，冲洗废水不外排。</w:t>
            </w:r>
          </w:p>
          <w:p>
            <w:pPr>
              <w:ind w:firstLine="480"/>
              <w:rPr>
                <w:color w:val="auto"/>
              </w:rPr>
            </w:pPr>
            <w:r>
              <w:rPr>
                <w:rFonts w:hint="eastAsia"/>
                <w:color w:val="auto"/>
              </w:rPr>
              <w:t>④实验室废水</w:t>
            </w:r>
          </w:p>
          <w:p>
            <w:pPr>
              <w:ind w:firstLine="480"/>
              <w:rPr>
                <w:color w:val="auto"/>
              </w:rPr>
            </w:pPr>
            <w:r>
              <w:rPr>
                <w:rFonts w:hint="eastAsia"/>
                <w:color w:val="auto"/>
              </w:rPr>
              <w:t>本项目新建实验室，主要对产品的和易性、强度和耐久性进行试验，试验过程中根据不同的检测指标需要用到一定量的水，试验结束后废水排放。根据本项目实际生产情况，本项目实验室用水量约5t/a，废水排放系数按0.8计，则废水产生量约4t/a。实验室废水性质与设备及车辆冲洗水相似，但SS浓度远低于冲洗废水，实验室废水可用于厂区泼洒抑尘，不外排。</w:t>
            </w:r>
          </w:p>
          <w:p>
            <w:pPr>
              <w:pStyle w:val="2"/>
              <w:spacing w:after="0"/>
              <w:ind w:firstLine="484"/>
              <w:rPr>
                <w:color w:val="auto"/>
              </w:rPr>
            </w:pPr>
            <w:r>
              <w:rPr>
                <w:color w:val="auto"/>
                <w:spacing w:val="1"/>
                <w:sz w:val="24"/>
              </w:rPr>
              <w:t>综上所述，项目废水采取相应措施后预计对周围</w:t>
            </w:r>
            <w:r>
              <w:rPr>
                <w:color w:val="auto"/>
                <w:sz w:val="24"/>
              </w:rPr>
              <w:t>地表水环境影响不大。</w:t>
            </w:r>
          </w:p>
          <w:p>
            <w:pPr>
              <w:pStyle w:val="4"/>
              <w:rPr>
                <w:color w:val="auto"/>
              </w:rPr>
            </w:pPr>
            <w:r>
              <w:rPr>
                <w:rFonts w:hint="eastAsia"/>
                <w:color w:val="auto"/>
              </w:rPr>
              <w:t>3</w:t>
            </w:r>
            <w:r>
              <w:rPr>
                <w:color w:val="auto"/>
              </w:rPr>
              <w:t>声</w:t>
            </w:r>
            <w:r>
              <w:rPr>
                <w:rFonts w:hint="eastAsia"/>
                <w:color w:val="auto"/>
              </w:rPr>
              <w:t>环境影响分析</w:t>
            </w:r>
          </w:p>
          <w:p>
            <w:pPr>
              <w:adjustRightInd w:val="0"/>
              <w:snapToGrid w:val="0"/>
              <w:ind w:firstLine="480"/>
              <w:rPr>
                <w:color w:val="auto"/>
              </w:rPr>
            </w:pPr>
            <w:r>
              <w:rPr>
                <w:rFonts w:hint="eastAsia"/>
                <w:color w:val="auto"/>
              </w:rPr>
              <w:t>（1）</w:t>
            </w:r>
            <w:r>
              <w:rPr>
                <w:color w:val="auto"/>
              </w:rPr>
              <w:t>噪声源强及降噪措施</w:t>
            </w:r>
          </w:p>
          <w:p>
            <w:pPr>
              <w:adjustRightInd w:val="0"/>
              <w:snapToGrid w:val="0"/>
              <w:ind w:firstLine="480"/>
              <w:rPr>
                <w:color w:val="auto"/>
              </w:rPr>
            </w:pPr>
            <w:r>
              <w:rPr>
                <w:color w:val="auto"/>
              </w:rPr>
              <w:t>项目噪声主要来源于</w:t>
            </w:r>
            <w:r>
              <w:rPr>
                <w:rFonts w:hint="eastAsia"/>
                <w:color w:val="auto"/>
              </w:rPr>
              <w:t>上料系统、烘干机搅拌机</w:t>
            </w:r>
            <w:r>
              <w:rPr>
                <w:color w:val="auto"/>
              </w:rPr>
              <w:t>等设备运行时产生的机械噪声，声源强度值为75~</w:t>
            </w:r>
            <w:r>
              <w:rPr>
                <w:rFonts w:hint="eastAsia"/>
                <w:color w:val="auto"/>
              </w:rPr>
              <w:t>9</w:t>
            </w:r>
            <w:r>
              <w:rPr>
                <w:color w:val="auto"/>
              </w:rPr>
              <w:t>0dB（A）。本项目选用低噪声设备，设备采取基础减振措施，厂房进行隔声处理，再经距离衰减、围墙隔挡等措施降噪</w:t>
            </w:r>
            <w:r>
              <w:rPr>
                <w:rFonts w:hint="eastAsia"/>
                <w:color w:val="auto"/>
              </w:rPr>
              <w:t>，具体设备噪声产生情况详见表4-10。</w:t>
            </w:r>
          </w:p>
          <w:p>
            <w:pPr>
              <w:ind w:firstLine="480"/>
              <w:jc w:val="center"/>
              <w:rPr>
                <w:b/>
                <w:color w:val="auto"/>
              </w:rPr>
            </w:pPr>
            <w:r>
              <w:rPr>
                <w:rFonts w:hint="eastAsia"/>
                <w:color w:val="auto"/>
              </w:rPr>
              <w:t>表4-10</w:t>
            </w:r>
            <w:r>
              <w:rPr>
                <w:b/>
                <w:color w:val="auto"/>
              </w:rPr>
              <w:t>主要高噪声设备噪声源强</w:t>
            </w:r>
          </w:p>
          <w:tbl>
            <w:tblPr>
              <w:tblStyle w:val="31"/>
              <w:tblW w:w="4997"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613"/>
              <w:gridCol w:w="1712"/>
              <w:gridCol w:w="1087"/>
              <w:gridCol w:w="747"/>
              <w:gridCol w:w="1074"/>
              <w:gridCol w:w="1635"/>
              <w:gridCol w:w="105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87" w:type="pct"/>
                  <w:tcBorders>
                    <w:top w:val="single" w:color="auto" w:sz="12" w:space="0"/>
                  </w:tcBorders>
                  <w:vAlign w:val="center"/>
                </w:tcPr>
                <w:p>
                  <w:pPr>
                    <w:ind w:firstLine="0" w:firstLineChars="0"/>
                    <w:jc w:val="center"/>
                    <w:rPr>
                      <w:b/>
                      <w:color w:val="auto"/>
                      <w:szCs w:val="21"/>
                    </w:rPr>
                  </w:pPr>
                  <w:r>
                    <w:rPr>
                      <w:b/>
                      <w:color w:val="auto"/>
                      <w:szCs w:val="21"/>
                    </w:rPr>
                    <w:t>序号</w:t>
                  </w:r>
                </w:p>
              </w:tc>
              <w:tc>
                <w:tcPr>
                  <w:tcW w:w="1079" w:type="pct"/>
                  <w:tcBorders>
                    <w:top w:val="single" w:color="auto" w:sz="12" w:space="0"/>
                  </w:tcBorders>
                  <w:vAlign w:val="center"/>
                </w:tcPr>
                <w:p>
                  <w:pPr>
                    <w:ind w:firstLine="0" w:firstLineChars="0"/>
                    <w:jc w:val="center"/>
                    <w:rPr>
                      <w:b/>
                      <w:color w:val="auto"/>
                      <w:szCs w:val="21"/>
                    </w:rPr>
                  </w:pPr>
                  <w:r>
                    <w:rPr>
                      <w:rFonts w:hint="eastAsia"/>
                      <w:b/>
                      <w:color w:val="auto"/>
                      <w:szCs w:val="21"/>
                    </w:rPr>
                    <w:t>噪声源</w:t>
                  </w:r>
                </w:p>
              </w:tc>
              <w:tc>
                <w:tcPr>
                  <w:tcW w:w="685" w:type="pct"/>
                  <w:tcBorders>
                    <w:top w:val="single" w:color="auto" w:sz="12" w:space="0"/>
                  </w:tcBorders>
                  <w:vAlign w:val="center"/>
                </w:tcPr>
                <w:p>
                  <w:pPr>
                    <w:ind w:firstLine="0" w:firstLineChars="0"/>
                    <w:jc w:val="center"/>
                    <w:rPr>
                      <w:b/>
                      <w:color w:val="auto"/>
                      <w:szCs w:val="21"/>
                    </w:rPr>
                  </w:pPr>
                  <w:r>
                    <w:rPr>
                      <w:rFonts w:hint="eastAsia"/>
                      <w:b/>
                      <w:color w:val="auto"/>
                      <w:szCs w:val="21"/>
                    </w:rPr>
                    <w:t>位置</w:t>
                  </w:r>
                </w:p>
              </w:tc>
              <w:tc>
                <w:tcPr>
                  <w:tcW w:w="471" w:type="pct"/>
                  <w:tcBorders>
                    <w:top w:val="single" w:color="auto" w:sz="12" w:space="0"/>
                  </w:tcBorders>
                  <w:vAlign w:val="center"/>
                </w:tcPr>
                <w:p>
                  <w:pPr>
                    <w:ind w:firstLine="0" w:firstLineChars="0"/>
                    <w:jc w:val="center"/>
                    <w:rPr>
                      <w:b/>
                      <w:color w:val="auto"/>
                      <w:szCs w:val="21"/>
                    </w:rPr>
                  </w:pPr>
                  <w:r>
                    <w:rPr>
                      <w:rFonts w:hint="eastAsia"/>
                      <w:b/>
                      <w:color w:val="auto"/>
                      <w:szCs w:val="21"/>
                    </w:rPr>
                    <w:t>持续时间</w:t>
                  </w:r>
                </w:p>
              </w:tc>
              <w:tc>
                <w:tcPr>
                  <w:tcW w:w="677" w:type="pct"/>
                  <w:tcBorders>
                    <w:top w:val="single" w:color="auto" w:sz="12" w:space="0"/>
                  </w:tcBorders>
                  <w:vAlign w:val="center"/>
                </w:tcPr>
                <w:p>
                  <w:pPr>
                    <w:ind w:firstLine="0" w:firstLineChars="0"/>
                    <w:jc w:val="center"/>
                    <w:rPr>
                      <w:b/>
                      <w:color w:val="auto"/>
                      <w:szCs w:val="21"/>
                    </w:rPr>
                  </w:pPr>
                  <w:r>
                    <w:rPr>
                      <w:rFonts w:hint="eastAsia"/>
                      <w:b/>
                      <w:color w:val="auto"/>
                      <w:szCs w:val="21"/>
                    </w:rPr>
                    <w:t>产生强度</w:t>
                  </w:r>
                  <w:r>
                    <w:rPr>
                      <w:b/>
                      <w:color w:val="auto"/>
                      <w:szCs w:val="21"/>
                    </w:rPr>
                    <w:t>dB(A)</w:t>
                  </w:r>
                </w:p>
              </w:tc>
              <w:tc>
                <w:tcPr>
                  <w:tcW w:w="1031" w:type="pct"/>
                  <w:tcBorders>
                    <w:top w:val="single" w:color="auto" w:sz="12" w:space="0"/>
                  </w:tcBorders>
                  <w:vAlign w:val="center"/>
                </w:tcPr>
                <w:p>
                  <w:pPr>
                    <w:ind w:firstLine="0" w:firstLineChars="0"/>
                    <w:jc w:val="center"/>
                    <w:rPr>
                      <w:b/>
                      <w:color w:val="auto"/>
                      <w:szCs w:val="21"/>
                    </w:rPr>
                  </w:pPr>
                  <w:r>
                    <w:rPr>
                      <w:b/>
                      <w:color w:val="auto"/>
                      <w:szCs w:val="21"/>
                    </w:rPr>
                    <w:t>降噪措施</w:t>
                  </w:r>
                </w:p>
              </w:tc>
              <w:tc>
                <w:tcPr>
                  <w:tcW w:w="667" w:type="pct"/>
                  <w:tcBorders>
                    <w:top w:val="single" w:color="auto" w:sz="12" w:space="0"/>
                  </w:tcBorders>
                  <w:vAlign w:val="center"/>
                </w:tcPr>
                <w:p>
                  <w:pPr>
                    <w:ind w:firstLine="0" w:firstLineChars="0"/>
                    <w:jc w:val="center"/>
                    <w:rPr>
                      <w:b/>
                      <w:color w:val="auto"/>
                      <w:szCs w:val="21"/>
                    </w:rPr>
                  </w:pPr>
                  <w:r>
                    <w:rPr>
                      <w:rFonts w:hint="eastAsia"/>
                      <w:b/>
                      <w:color w:val="auto"/>
                      <w:szCs w:val="21"/>
                    </w:rPr>
                    <w:t>排放强度</w:t>
                  </w:r>
                  <w:r>
                    <w:rPr>
                      <w:b/>
                      <w:color w:val="auto"/>
                      <w:szCs w:val="21"/>
                    </w:rPr>
                    <w:t>dB(A)</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6" w:hRule="atLeast"/>
                <w:jc w:val="center"/>
              </w:trPr>
              <w:tc>
                <w:tcPr>
                  <w:tcW w:w="387" w:type="pct"/>
                  <w:vAlign w:val="center"/>
                </w:tcPr>
                <w:p>
                  <w:pPr>
                    <w:adjustRightInd w:val="0"/>
                    <w:snapToGrid w:val="0"/>
                    <w:ind w:firstLine="0" w:firstLineChars="0"/>
                    <w:jc w:val="center"/>
                    <w:rPr>
                      <w:color w:val="auto"/>
                      <w:szCs w:val="21"/>
                    </w:rPr>
                  </w:pPr>
                  <w:r>
                    <w:rPr>
                      <w:color w:val="auto"/>
                      <w:szCs w:val="21"/>
                    </w:rPr>
                    <w:t>1</w:t>
                  </w:r>
                </w:p>
              </w:tc>
              <w:tc>
                <w:tcPr>
                  <w:tcW w:w="1079" w:type="pct"/>
                  <w:vAlign w:val="center"/>
                </w:tcPr>
                <w:p>
                  <w:pPr>
                    <w:widowControl/>
                    <w:ind w:firstLine="0" w:firstLineChars="0"/>
                    <w:jc w:val="center"/>
                    <w:textAlignment w:val="center"/>
                    <w:rPr>
                      <w:color w:val="auto"/>
                      <w:kern w:val="0"/>
                      <w:sz w:val="21"/>
                      <w:szCs w:val="21"/>
                      <w:lang w:bidi="ar"/>
                    </w:rPr>
                  </w:pPr>
                  <w:r>
                    <w:rPr>
                      <w:rFonts w:hint="eastAsia"/>
                      <w:color w:val="auto"/>
                      <w:kern w:val="0"/>
                      <w:sz w:val="21"/>
                      <w:szCs w:val="21"/>
                      <w:lang w:bidi="ar"/>
                    </w:rPr>
                    <w:t>上料系统</w:t>
                  </w:r>
                </w:p>
              </w:tc>
              <w:tc>
                <w:tcPr>
                  <w:tcW w:w="685" w:type="pct"/>
                  <w:vAlign w:val="center"/>
                </w:tcPr>
                <w:p>
                  <w:pPr>
                    <w:ind w:firstLine="0" w:firstLineChars="0"/>
                    <w:jc w:val="center"/>
                    <w:rPr>
                      <w:color w:val="auto"/>
                    </w:rPr>
                  </w:pPr>
                  <w:r>
                    <w:rPr>
                      <w:rFonts w:hint="eastAsia"/>
                      <w:color w:val="auto"/>
                    </w:rPr>
                    <w:t>厂区</w:t>
                  </w:r>
                </w:p>
              </w:tc>
              <w:tc>
                <w:tcPr>
                  <w:tcW w:w="471" w:type="pct"/>
                  <w:vAlign w:val="center"/>
                </w:tcPr>
                <w:p>
                  <w:pPr>
                    <w:ind w:firstLine="0" w:firstLineChars="0"/>
                    <w:jc w:val="center"/>
                    <w:rPr>
                      <w:color w:val="auto"/>
                    </w:rPr>
                  </w:pPr>
                  <w:r>
                    <w:rPr>
                      <w:rFonts w:hint="eastAsia"/>
                      <w:color w:val="auto"/>
                    </w:rPr>
                    <w:t>间断</w:t>
                  </w:r>
                </w:p>
              </w:tc>
              <w:tc>
                <w:tcPr>
                  <w:tcW w:w="677" w:type="pct"/>
                  <w:vAlign w:val="center"/>
                </w:tcPr>
                <w:p>
                  <w:pPr>
                    <w:adjustRightInd w:val="0"/>
                    <w:snapToGrid w:val="0"/>
                    <w:ind w:firstLine="0" w:firstLineChars="0"/>
                    <w:jc w:val="center"/>
                    <w:rPr>
                      <w:color w:val="auto"/>
                      <w:szCs w:val="21"/>
                    </w:rPr>
                  </w:pPr>
                  <w:r>
                    <w:rPr>
                      <w:rFonts w:hint="eastAsia"/>
                      <w:color w:val="auto"/>
                      <w:szCs w:val="21"/>
                    </w:rPr>
                    <w:t>80</w:t>
                  </w:r>
                </w:p>
              </w:tc>
              <w:tc>
                <w:tcPr>
                  <w:tcW w:w="1031" w:type="pct"/>
                  <w:vMerge w:val="restart"/>
                  <w:vAlign w:val="center"/>
                </w:tcPr>
                <w:p>
                  <w:pPr>
                    <w:adjustRightInd w:val="0"/>
                    <w:snapToGrid w:val="0"/>
                    <w:ind w:firstLine="0" w:firstLineChars="0"/>
                    <w:jc w:val="center"/>
                    <w:rPr>
                      <w:color w:val="auto"/>
                      <w:szCs w:val="21"/>
                    </w:rPr>
                  </w:pPr>
                  <w:r>
                    <w:rPr>
                      <w:rFonts w:hint="eastAsia"/>
                      <w:color w:val="auto"/>
                      <w:szCs w:val="21"/>
                    </w:rPr>
                    <w:t>隔声、减振</w:t>
                  </w:r>
                </w:p>
              </w:tc>
              <w:tc>
                <w:tcPr>
                  <w:tcW w:w="667" w:type="pct"/>
                  <w:vAlign w:val="center"/>
                </w:tcPr>
                <w:p>
                  <w:pPr>
                    <w:adjustRightInd w:val="0"/>
                    <w:snapToGrid w:val="0"/>
                    <w:ind w:firstLine="0" w:firstLineChars="0"/>
                    <w:jc w:val="center"/>
                    <w:rPr>
                      <w:color w:val="auto"/>
                      <w:szCs w:val="21"/>
                    </w:rPr>
                  </w:pPr>
                  <w:r>
                    <w:rPr>
                      <w:rFonts w:hint="eastAsia"/>
                      <w:color w:val="auto"/>
                      <w:szCs w:val="21"/>
                    </w:rPr>
                    <w:t>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87" w:type="pct"/>
                  <w:vAlign w:val="center"/>
                </w:tcPr>
                <w:p>
                  <w:pPr>
                    <w:adjustRightInd w:val="0"/>
                    <w:snapToGrid w:val="0"/>
                    <w:ind w:firstLine="0" w:firstLineChars="0"/>
                    <w:jc w:val="center"/>
                    <w:rPr>
                      <w:color w:val="auto"/>
                      <w:szCs w:val="21"/>
                    </w:rPr>
                  </w:pPr>
                  <w:r>
                    <w:rPr>
                      <w:color w:val="auto"/>
                      <w:szCs w:val="21"/>
                    </w:rPr>
                    <w:t>2</w:t>
                  </w:r>
                </w:p>
              </w:tc>
              <w:tc>
                <w:tcPr>
                  <w:tcW w:w="1079" w:type="pct"/>
                  <w:vAlign w:val="center"/>
                </w:tcPr>
                <w:p>
                  <w:pPr>
                    <w:widowControl/>
                    <w:ind w:firstLine="0" w:firstLineChars="0"/>
                    <w:jc w:val="center"/>
                    <w:textAlignment w:val="center"/>
                    <w:rPr>
                      <w:color w:val="auto"/>
                      <w:kern w:val="0"/>
                      <w:sz w:val="21"/>
                      <w:szCs w:val="21"/>
                      <w:lang w:bidi="ar"/>
                    </w:rPr>
                  </w:pPr>
                  <w:r>
                    <w:rPr>
                      <w:rFonts w:hint="eastAsia" w:ascii="宋体" w:hAnsi="宋体" w:cs="宋体"/>
                      <w:color w:val="auto"/>
                      <w:kern w:val="0"/>
                      <w:sz w:val="21"/>
                      <w:szCs w:val="21"/>
                      <w:lang w:bidi="ar"/>
                    </w:rPr>
                    <w:t>导热油炉</w:t>
                  </w:r>
                </w:p>
              </w:tc>
              <w:tc>
                <w:tcPr>
                  <w:tcW w:w="685" w:type="pct"/>
                  <w:vAlign w:val="center"/>
                </w:tcPr>
                <w:p>
                  <w:pPr>
                    <w:ind w:firstLine="0" w:firstLineChars="0"/>
                    <w:jc w:val="center"/>
                    <w:rPr>
                      <w:color w:val="auto"/>
                    </w:rPr>
                  </w:pPr>
                  <w:r>
                    <w:rPr>
                      <w:rFonts w:hint="eastAsia"/>
                      <w:color w:val="auto"/>
                    </w:rPr>
                    <w:t>厂区</w:t>
                  </w:r>
                </w:p>
              </w:tc>
              <w:tc>
                <w:tcPr>
                  <w:tcW w:w="471" w:type="pct"/>
                  <w:vAlign w:val="center"/>
                </w:tcPr>
                <w:p>
                  <w:pPr>
                    <w:ind w:firstLine="0" w:firstLineChars="0"/>
                    <w:jc w:val="center"/>
                    <w:rPr>
                      <w:color w:val="auto"/>
                    </w:rPr>
                  </w:pPr>
                  <w:r>
                    <w:rPr>
                      <w:rFonts w:hint="eastAsia"/>
                      <w:color w:val="auto"/>
                    </w:rPr>
                    <w:t>间断</w:t>
                  </w:r>
                </w:p>
              </w:tc>
              <w:tc>
                <w:tcPr>
                  <w:tcW w:w="677" w:type="pct"/>
                  <w:vAlign w:val="center"/>
                </w:tcPr>
                <w:p>
                  <w:pPr>
                    <w:adjustRightInd w:val="0"/>
                    <w:snapToGrid w:val="0"/>
                    <w:ind w:firstLine="0" w:firstLineChars="0"/>
                    <w:jc w:val="center"/>
                    <w:rPr>
                      <w:color w:val="auto"/>
                      <w:szCs w:val="21"/>
                    </w:rPr>
                  </w:pPr>
                  <w:r>
                    <w:rPr>
                      <w:rFonts w:hint="eastAsia"/>
                      <w:color w:val="auto"/>
                      <w:szCs w:val="21"/>
                    </w:rPr>
                    <w:t>75</w:t>
                  </w:r>
                </w:p>
              </w:tc>
              <w:tc>
                <w:tcPr>
                  <w:tcW w:w="1031" w:type="pct"/>
                  <w:vMerge w:val="continue"/>
                  <w:vAlign w:val="center"/>
                </w:tcPr>
                <w:p>
                  <w:pPr>
                    <w:adjustRightInd w:val="0"/>
                    <w:snapToGrid w:val="0"/>
                    <w:ind w:firstLine="0" w:firstLineChars="0"/>
                    <w:jc w:val="center"/>
                    <w:rPr>
                      <w:color w:val="auto"/>
                      <w:szCs w:val="21"/>
                    </w:rPr>
                  </w:pPr>
                </w:p>
              </w:tc>
              <w:tc>
                <w:tcPr>
                  <w:tcW w:w="667" w:type="pct"/>
                  <w:vAlign w:val="center"/>
                </w:tcPr>
                <w:p>
                  <w:pPr>
                    <w:adjustRightInd w:val="0"/>
                    <w:snapToGrid w:val="0"/>
                    <w:ind w:firstLine="0" w:firstLineChars="0"/>
                    <w:jc w:val="center"/>
                    <w:rPr>
                      <w:color w:val="auto"/>
                      <w:szCs w:val="21"/>
                    </w:rPr>
                  </w:pPr>
                  <w:r>
                    <w:rPr>
                      <w:rFonts w:hint="eastAsia"/>
                      <w:color w:val="auto"/>
                      <w:szCs w:val="21"/>
                    </w:rPr>
                    <w:t>55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87" w:type="pct"/>
                  <w:vAlign w:val="center"/>
                </w:tcPr>
                <w:p>
                  <w:pPr>
                    <w:adjustRightInd w:val="0"/>
                    <w:snapToGrid w:val="0"/>
                    <w:ind w:firstLine="0" w:firstLineChars="0"/>
                    <w:jc w:val="center"/>
                    <w:rPr>
                      <w:color w:val="auto"/>
                      <w:szCs w:val="21"/>
                    </w:rPr>
                  </w:pPr>
                  <w:r>
                    <w:rPr>
                      <w:rFonts w:hint="eastAsia"/>
                      <w:color w:val="auto"/>
                      <w:szCs w:val="21"/>
                    </w:rPr>
                    <w:t>3</w:t>
                  </w:r>
                </w:p>
              </w:tc>
              <w:tc>
                <w:tcPr>
                  <w:tcW w:w="1079" w:type="pct"/>
                  <w:vAlign w:val="center"/>
                </w:tcPr>
                <w:p>
                  <w:pPr>
                    <w:widowControl/>
                    <w:ind w:firstLine="0" w:firstLineChars="0"/>
                    <w:jc w:val="center"/>
                    <w:textAlignment w:val="center"/>
                    <w:rPr>
                      <w:color w:val="auto"/>
                      <w:kern w:val="0"/>
                      <w:sz w:val="21"/>
                      <w:szCs w:val="21"/>
                      <w:lang w:bidi="ar"/>
                    </w:rPr>
                  </w:pPr>
                  <w:r>
                    <w:rPr>
                      <w:rFonts w:hint="eastAsia" w:ascii="宋体" w:hAnsi="宋体" w:cs="宋体"/>
                      <w:color w:val="auto"/>
                      <w:kern w:val="0"/>
                      <w:sz w:val="21"/>
                      <w:szCs w:val="21"/>
                      <w:lang w:bidi="ar"/>
                    </w:rPr>
                    <w:t>骨料烘干窑</w:t>
                  </w:r>
                </w:p>
              </w:tc>
              <w:tc>
                <w:tcPr>
                  <w:tcW w:w="685" w:type="pct"/>
                  <w:vAlign w:val="center"/>
                </w:tcPr>
                <w:p>
                  <w:pPr>
                    <w:ind w:firstLine="0" w:firstLineChars="0"/>
                    <w:jc w:val="center"/>
                    <w:rPr>
                      <w:color w:val="auto"/>
                    </w:rPr>
                  </w:pPr>
                  <w:r>
                    <w:rPr>
                      <w:rFonts w:hint="eastAsia"/>
                      <w:color w:val="auto"/>
                    </w:rPr>
                    <w:t>厂区</w:t>
                  </w:r>
                </w:p>
              </w:tc>
              <w:tc>
                <w:tcPr>
                  <w:tcW w:w="471" w:type="pct"/>
                  <w:vAlign w:val="center"/>
                </w:tcPr>
                <w:p>
                  <w:pPr>
                    <w:ind w:firstLine="0" w:firstLineChars="0"/>
                    <w:jc w:val="center"/>
                    <w:rPr>
                      <w:color w:val="auto"/>
                    </w:rPr>
                  </w:pPr>
                  <w:r>
                    <w:rPr>
                      <w:rFonts w:hint="eastAsia"/>
                      <w:color w:val="auto"/>
                    </w:rPr>
                    <w:t>间断</w:t>
                  </w:r>
                </w:p>
              </w:tc>
              <w:tc>
                <w:tcPr>
                  <w:tcW w:w="677" w:type="pct"/>
                  <w:vAlign w:val="center"/>
                </w:tcPr>
                <w:p>
                  <w:pPr>
                    <w:adjustRightInd w:val="0"/>
                    <w:snapToGrid w:val="0"/>
                    <w:ind w:firstLine="0" w:firstLineChars="0"/>
                    <w:jc w:val="center"/>
                    <w:rPr>
                      <w:color w:val="auto"/>
                      <w:szCs w:val="21"/>
                    </w:rPr>
                  </w:pPr>
                  <w:r>
                    <w:rPr>
                      <w:rFonts w:hint="eastAsia"/>
                      <w:color w:val="auto"/>
                    </w:rPr>
                    <w:t>90</w:t>
                  </w:r>
                </w:p>
              </w:tc>
              <w:tc>
                <w:tcPr>
                  <w:tcW w:w="1031" w:type="pct"/>
                  <w:vMerge w:val="continue"/>
                  <w:vAlign w:val="center"/>
                </w:tcPr>
                <w:p>
                  <w:pPr>
                    <w:adjustRightInd w:val="0"/>
                    <w:snapToGrid w:val="0"/>
                    <w:ind w:firstLine="0" w:firstLineChars="0"/>
                    <w:jc w:val="center"/>
                    <w:rPr>
                      <w:color w:val="auto"/>
                      <w:szCs w:val="21"/>
                    </w:rPr>
                  </w:pPr>
                </w:p>
              </w:tc>
              <w:tc>
                <w:tcPr>
                  <w:tcW w:w="667" w:type="pct"/>
                  <w:vAlign w:val="center"/>
                </w:tcPr>
                <w:p>
                  <w:pPr>
                    <w:adjustRightInd w:val="0"/>
                    <w:snapToGrid w:val="0"/>
                    <w:ind w:firstLine="0" w:firstLineChars="0"/>
                    <w:jc w:val="center"/>
                    <w:rPr>
                      <w:color w:val="auto"/>
                      <w:szCs w:val="21"/>
                    </w:rPr>
                  </w:pPr>
                  <w:r>
                    <w:rPr>
                      <w:rFonts w:hint="eastAsia"/>
                      <w:color w:val="auto"/>
                      <w:szCs w:val="21"/>
                    </w:rPr>
                    <w:t>70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87" w:type="pct"/>
                  <w:vAlign w:val="center"/>
                </w:tcPr>
                <w:p>
                  <w:pPr>
                    <w:adjustRightInd w:val="0"/>
                    <w:snapToGrid w:val="0"/>
                    <w:ind w:firstLine="0" w:firstLineChars="0"/>
                    <w:jc w:val="center"/>
                    <w:rPr>
                      <w:color w:val="auto"/>
                      <w:szCs w:val="21"/>
                    </w:rPr>
                  </w:pPr>
                  <w:r>
                    <w:rPr>
                      <w:rFonts w:hint="eastAsia"/>
                      <w:color w:val="auto"/>
                      <w:szCs w:val="21"/>
                    </w:rPr>
                    <w:t>4</w:t>
                  </w:r>
                </w:p>
              </w:tc>
              <w:tc>
                <w:tcPr>
                  <w:tcW w:w="1079" w:type="pct"/>
                  <w:vAlign w:val="center"/>
                </w:tcPr>
                <w:p>
                  <w:pPr>
                    <w:widowControl/>
                    <w:ind w:firstLine="0" w:firstLineChars="0"/>
                    <w:jc w:val="center"/>
                    <w:textAlignment w:val="center"/>
                    <w:rPr>
                      <w:rFonts w:hint="eastAsia" w:ascii="宋体" w:hAnsi="宋体" w:cs="宋体"/>
                      <w:color w:val="auto"/>
                      <w:kern w:val="0"/>
                      <w:sz w:val="21"/>
                      <w:szCs w:val="21"/>
                      <w:lang w:bidi="ar"/>
                    </w:rPr>
                  </w:pPr>
                  <w:r>
                    <w:rPr>
                      <w:rFonts w:hint="eastAsia" w:ascii="宋体" w:hAnsi="宋体" w:cs="宋体"/>
                      <w:color w:val="auto"/>
                      <w:kern w:val="0"/>
                      <w:sz w:val="21"/>
                      <w:szCs w:val="21"/>
                      <w:lang w:bidi="ar"/>
                    </w:rPr>
                    <w:t>风机</w:t>
                  </w:r>
                </w:p>
              </w:tc>
              <w:tc>
                <w:tcPr>
                  <w:tcW w:w="685" w:type="pct"/>
                  <w:vAlign w:val="center"/>
                </w:tcPr>
                <w:p>
                  <w:pPr>
                    <w:ind w:firstLine="0" w:firstLineChars="0"/>
                    <w:jc w:val="center"/>
                    <w:rPr>
                      <w:color w:val="auto"/>
                    </w:rPr>
                  </w:pPr>
                  <w:r>
                    <w:rPr>
                      <w:rFonts w:hint="eastAsia"/>
                      <w:color w:val="auto"/>
                    </w:rPr>
                    <w:t>厂区</w:t>
                  </w:r>
                </w:p>
              </w:tc>
              <w:tc>
                <w:tcPr>
                  <w:tcW w:w="471" w:type="pct"/>
                  <w:vAlign w:val="center"/>
                </w:tcPr>
                <w:p>
                  <w:pPr>
                    <w:ind w:firstLine="0" w:firstLineChars="0"/>
                    <w:jc w:val="center"/>
                    <w:rPr>
                      <w:color w:val="auto"/>
                    </w:rPr>
                  </w:pPr>
                  <w:r>
                    <w:rPr>
                      <w:rFonts w:hint="eastAsia"/>
                      <w:color w:val="auto"/>
                    </w:rPr>
                    <w:t>间断</w:t>
                  </w:r>
                </w:p>
              </w:tc>
              <w:tc>
                <w:tcPr>
                  <w:tcW w:w="677" w:type="pct"/>
                  <w:vAlign w:val="center"/>
                </w:tcPr>
                <w:p>
                  <w:pPr>
                    <w:adjustRightInd w:val="0"/>
                    <w:snapToGrid w:val="0"/>
                    <w:ind w:firstLine="0" w:firstLineChars="0"/>
                    <w:jc w:val="center"/>
                    <w:rPr>
                      <w:color w:val="auto"/>
                    </w:rPr>
                  </w:pPr>
                  <w:r>
                    <w:rPr>
                      <w:rFonts w:hint="eastAsia"/>
                      <w:color w:val="auto"/>
                    </w:rPr>
                    <w:t>90</w:t>
                  </w:r>
                </w:p>
              </w:tc>
              <w:tc>
                <w:tcPr>
                  <w:tcW w:w="1031" w:type="pct"/>
                  <w:vMerge w:val="continue"/>
                  <w:vAlign w:val="center"/>
                </w:tcPr>
                <w:p>
                  <w:pPr>
                    <w:adjustRightInd w:val="0"/>
                    <w:snapToGrid w:val="0"/>
                    <w:ind w:firstLine="0" w:firstLineChars="0"/>
                    <w:jc w:val="center"/>
                    <w:rPr>
                      <w:color w:val="auto"/>
                      <w:szCs w:val="21"/>
                    </w:rPr>
                  </w:pPr>
                </w:p>
              </w:tc>
              <w:tc>
                <w:tcPr>
                  <w:tcW w:w="667" w:type="pct"/>
                  <w:vAlign w:val="center"/>
                </w:tcPr>
                <w:p>
                  <w:pPr>
                    <w:adjustRightInd w:val="0"/>
                    <w:snapToGrid w:val="0"/>
                    <w:ind w:firstLine="0" w:firstLineChars="0"/>
                    <w:jc w:val="center"/>
                    <w:rPr>
                      <w:color w:val="auto"/>
                      <w:szCs w:val="21"/>
                    </w:rPr>
                  </w:pPr>
                  <w:r>
                    <w:rPr>
                      <w:rFonts w:hint="eastAsia"/>
                      <w:color w:val="auto"/>
                      <w:szCs w:val="21"/>
                    </w:rPr>
                    <w:t>70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87" w:type="pct"/>
                  <w:vAlign w:val="center"/>
                </w:tcPr>
                <w:p>
                  <w:pPr>
                    <w:adjustRightInd w:val="0"/>
                    <w:snapToGrid w:val="0"/>
                    <w:ind w:firstLine="0" w:firstLineChars="0"/>
                    <w:jc w:val="center"/>
                    <w:rPr>
                      <w:color w:val="auto"/>
                      <w:szCs w:val="21"/>
                    </w:rPr>
                  </w:pPr>
                  <w:r>
                    <w:rPr>
                      <w:rFonts w:hint="eastAsia"/>
                      <w:color w:val="auto"/>
                      <w:szCs w:val="21"/>
                    </w:rPr>
                    <w:t>5</w:t>
                  </w:r>
                </w:p>
              </w:tc>
              <w:tc>
                <w:tcPr>
                  <w:tcW w:w="1079" w:type="pct"/>
                  <w:vAlign w:val="center"/>
                </w:tcPr>
                <w:p>
                  <w:pPr>
                    <w:widowControl/>
                    <w:ind w:firstLine="0" w:firstLineChars="0"/>
                    <w:jc w:val="center"/>
                    <w:textAlignment w:val="center"/>
                    <w:rPr>
                      <w:rFonts w:hint="eastAsia" w:ascii="宋体" w:hAnsi="宋体" w:cs="宋体"/>
                      <w:color w:val="auto"/>
                      <w:kern w:val="0"/>
                      <w:sz w:val="21"/>
                      <w:szCs w:val="21"/>
                      <w:lang w:bidi="ar"/>
                    </w:rPr>
                  </w:pPr>
                  <w:r>
                    <w:rPr>
                      <w:rFonts w:hint="eastAsia" w:ascii="宋体" w:hAnsi="宋体" w:cs="宋体"/>
                      <w:color w:val="auto"/>
                      <w:kern w:val="0"/>
                      <w:sz w:val="21"/>
                      <w:szCs w:val="21"/>
                      <w:lang w:bidi="ar"/>
                    </w:rPr>
                    <w:t>物料混合</w:t>
                  </w:r>
                </w:p>
              </w:tc>
              <w:tc>
                <w:tcPr>
                  <w:tcW w:w="685" w:type="pct"/>
                  <w:vAlign w:val="center"/>
                </w:tcPr>
                <w:p>
                  <w:pPr>
                    <w:ind w:firstLine="0" w:firstLineChars="0"/>
                    <w:jc w:val="center"/>
                    <w:rPr>
                      <w:color w:val="auto"/>
                    </w:rPr>
                  </w:pPr>
                  <w:r>
                    <w:rPr>
                      <w:rFonts w:hint="eastAsia"/>
                      <w:color w:val="auto"/>
                    </w:rPr>
                    <w:t>厂区</w:t>
                  </w:r>
                </w:p>
              </w:tc>
              <w:tc>
                <w:tcPr>
                  <w:tcW w:w="471" w:type="pct"/>
                  <w:vAlign w:val="center"/>
                </w:tcPr>
                <w:p>
                  <w:pPr>
                    <w:ind w:firstLine="0" w:firstLineChars="0"/>
                    <w:jc w:val="center"/>
                    <w:rPr>
                      <w:color w:val="auto"/>
                    </w:rPr>
                  </w:pPr>
                  <w:r>
                    <w:rPr>
                      <w:rFonts w:hint="eastAsia"/>
                      <w:color w:val="auto"/>
                    </w:rPr>
                    <w:t>间断</w:t>
                  </w:r>
                </w:p>
              </w:tc>
              <w:tc>
                <w:tcPr>
                  <w:tcW w:w="677" w:type="pct"/>
                  <w:vAlign w:val="center"/>
                </w:tcPr>
                <w:p>
                  <w:pPr>
                    <w:adjustRightInd w:val="0"/>
                    <w:snapToGrid w:val="0"/>
                    <w:ind w:firstLine="0" w:firstLineChars="0"/>
                    <w:jc w:val="center"/>
                    <w:rPr>
                      <w:color w:val="auto"/>
                    </w:rPr>
                  </w:pPr>
                  <w:r>
                    <w:rPr>
                      <w:rFonts w:hint="eastAsia"/>
                      <w:color w:val="auto"/>
                    </w:rPr>
                    <w:t>90</w:t>
                  </w:r>
                </w:p>
              </w:tc>
              <w:tc>
                <w:tcPr>
                  <w:tcW w:w="1031" w:type="pct"/>
                  <w:vMerge w:val="continue"/>
                  <w:vAlign w:val="center"/>
                </w:tcPr>
                <w:p>
                  <w:pPr>
                    <w:adjustRightInd w:val="0"/>
                    <w:snapToGrid w:val="0"/>
                    <w:ind w:firstLine="0" w:firstLineChars="0"/>
                    <w:jc w:val="center"/>
                    <w:rPr>
                      <w:color w:val="auto"/>
                      <w:szCs w:val="21"/>
                    </w:rPr>
                  </w:pPr>
                </w:p>
              </w:tc>
              <w:tc>
                <w:tcPr>
                  <w:tcW w:w="667" w:type="pct"/>
                  <w:vAlign w:val="center"/>
                </w:tcPr>
                <w:p>
                  <w:pPr>
                    <w:adjustRightInd w:val="0"/>
                    <w:snapToGrid w:val="0"/>
                    <w:ind w:firstLine="0" w:firstLineChars="0"/>
                    <w:jc w:val="center"/>
                    <w:rPr>
                      <w:color w:val="auto"/>
                      <w:szCs w:val="21"/>
                    </w:rPr>
                  </w:pPr>
                  <w:r>
                    <w:rPr>
                      <w:rFonts w:hint="eastAsia"/>
                      <w:color w:val="auto"/>
                      <w:szCs w:val="21"/>
                    </w:rPr>
                    <w:t>70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87" w:type="pct"/>
                  <w:vAlign w:val="center"/>
                </w:tcPr>
                <w:p>
                  <w:pPr>
                    <w:adjustRightInd w:val="0"/>
                    <w:snapToGrid w:val="0"/>
                    <w:ind w:firstLine="0" w:firstLineChars="0"/>
                    <w:jc w:val="center"/>
                    <w:rPr>
                      <w:color w:val="auto"/>
                      <w:szCs w:val="21"/>
                    </w:rPr>
                  </w:pPr>
                  <w:r>
                    <w:rPr>
                      <w:rFonts w:hint="eastAsia"/>
                      <w:color w:val="auto"/>
                      <w:szCs w:val="21"/>
                    </w:rPr>
                    <w:t>6</w:t>
                  </w:r>
                </w:p>
              </w:tc>
              <w:tc>
                <w:tcPr>
                  <w:tcW w:w="1079" w:type="pct"/>
                  <w:vAlign w:val="center"/>
                </w:tcPr>
                <w:p>
                  <w:pPr>
                    <w:widowControl/>
                    <w:ind w:firstLine="0" w:firstLineChars="0"/>
                    <w:jc w:val="center"/>
                    <w:textAlignment w:val="center"/>
                    <w:rPr>
                      <w:rFonts w:hint="eastAsia" w:ascii="宋体" w:hAnsi="宋体" w:cs="宋体"/>
                      <w:color w:val="auto"/>
                      <w:kern w:val="0"/>
                      <w:sz w:val="21"/>
                      <w:szCs w:val="21"/>
                      <w:lang w:bidi="ar"/>
                    </w:rPr>
                  </w:pPr>
                  <w:r>
                    <w:rPr>
                      <w:rFonts w:hint="eastAsia" w:ascii="宋体" w:hAnsi="宋体" w:cs="宋体"/>
                      <w:color w:val="auto"/>
                      <w:kern w:val="0"/>
                      <w:sz w:val="21"/>
                      <w:szCs w:val="21"/>
                      <w:lang w:bidi="ar"/>
                    </w:rPr>
                    <w:t>搅拌机</w:t>
                  </w:r>
                </w:p>
              </w:tc>
              <w:tc>
                <w:tcPr>
                  <w:tcW w:w="685" w:type="pct"/>
                  <w:vAlign w:val="center"/>
                </w:tcPr>
                <w:p>
                  <w:pPr>
                    <w:ind w:firstLine="0" w:firstLineChars="0"/>
                    <w:jc w:val="center"/>
                    <w:rPr>
                      <w:color w:val="auto"/>
                    </w:rPr>
                  </w:pPr>
                  <w:r>
                    <w:rPr>
                      <w:rFonts w:hint="eastAsia"/>
                      <w:color w:val="auto"/>
                    </w:rPr>
                    <w:t>厂区</w:t>
                  </w:r>
                </w:p>
              </w:tc>
              <w:tc>
                <w:tcPr>
                  <w:tcW w:w="471" w:type="pct"/>
                  <w:vAlign w:val="center"/>
                </w:tcPr>
                <w:p>
                  <w:pPr>
                    <w:ind w:firstLine="0" w:firstLineChars="0"/>
                    <w:jc w:val="center"/>
                    <w:rPr>
                      <w:color w:val="auto"/>
                    </w:rPr>
                  </w:pPr>
                  <w:r>
                    <w:rPr>
                      <w:rFonts w:hint="eastAsia"/>
                      <w:color w:val="auto"/>
                    </w:rPr>
                    <w:t>间断</w:t>
                  </w:r>
                </w:p>
              </w:tc>
              <w:tc>
                <w:tcPr>
                  <w:tcW w:w="677" w:type="pct"/>
                  <w:vAlign w:val="center"/>
                </w:tcPr>
                <w:p>
                  <w:pPr>
                    <w:adjustRightInd w:val="0"/>
                    <w:snapToGrid w:val="0"/>
                    <w:ind w:firstLine="0" w:firstLineChars="0"/>
                    <w:jc w:val="center"/>
                    <w:rPr>
                      <w:color w:val="auto"/>
                    </w:rPr>
                  </w:pPr>
                  <w:r>
                    <w:rPr>
                      <w:rFonts w:hint="eastAsia"/>
                      <w:color w:val="auto"/>
                    </w:rPr>
                    <w:t>90</w:t>
                  </w:r>
                </w:p>
              </w:tc>
              <w:tc>
                <w:tcPr>
                  <w:tcW w:w="1031" w:type="pct"/>
                  <w:vMerge w:val="continue"/>
                  <w:vAlign w:val="center"/>
                </w:tcPr>
                <w:p>
                  <w:pPr>
                    <w:adjustRightInd w:val="0"/>
                    <w:snapToGrid w:val="0"/>
                    <w:ind w:firstLine="0" w:firstLineChars="0"/>
                    <w:jc w:val="center"/>
                    <w:rPr>
                      <w:color w:val="auto"/>
                      <w:szCs w:val="21"/>
                    </w:rPr>
                  </w:pPr>
                </w:p>
              </w:tc>
              <w:tc>
                <w:tcPr>
                  <w:tcW w:w="667" w:type="pct"/>
                  <w:vAlign w:val="center"/>
                </w:tcPr>
                <w:p>
                  <w:pPr>
                    <w:adjustRightInd w:val="0"/>
                    <w:snapToGrid w:val="0"/>
                    <w:ind w:firstLine="0" w:firstLineChars="0"/>
                    <w:jc w:val="center"/>
                    <w:rPr>
                      <w:color w:val="auto"/>
                      <w:szCs w:val="21"/>
                    </w:rPr>
                  </w:pPr>
                  <w:r>
                    <w:rPr>
                      <w:rFonts w:hint="eastAsia"/>
                      <w:color w:val="auto"/>
                      <w:szCs w:val="21"/>
                    </w:rPr>
                    <w:t>70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87" w:type="pct"/>
                  <w:vAlign w:val="center"/>
                </w:tcPr>
                <w:p>
                  <w:pPr>
                    <w:adjustRightInd w:val="0"/>
                    <w:snapToGrid w:val="0"/>
                    <w:ind w:firstLine="0" w:firstLineChars="0"/>
                    <w:jc w:val="center"/>
                    <w:rPr>
                      <w:color w:val="auto"/>
                      <w:szCs w:val="21"/>
                    </w:rPr>
                  </w:pPr>
                  <w:r>
                    <w:rPr>
                      <w:rFonts w:hint="eastAsia"/>
                      <w:color w:val="auto"/>
                      <w:szCs w:val="21"/>
                    </w:rPr>
                    <w:t>7</w:t>
                  </w:r>
                </w:p>
              </w:tc>
              <w:tc>
                <w:tcPr>
                  <w:tcW w:w="1079" w:type="pct"/>
                  <w:vAlign w:val="center"/>
                </w:tcPr>
                <w:p>
                  <w:pPr>
                    <w:widowControl/>
                    <w:ind w:firstLine="0" w:firstLineChars="0"/>
                    <w:jc w:val="center"/>
                    <w:textAlignment w:val="center"/>
                    <w:rPr>
                      <w:rFonts w:hint="eastAsia" w:ascii="宋体" w:hAnsi="宋体" w:cs="宋体"/>
                      <w:color w:val="auto"/>
                      <w:kern w:val="0"/>
                      <w:sz w:val="21"/>
                      <w:szCs w:val="21"/>
                      <w:lang w:bidi="ar"/>
                    </w:rPr>
                  </w:pPr>
                  <w:r>
                    <w:rPr>
                      <w:rFonts w:hint="eastAsia" w:ascii="宋体" w:hAnsi="宋体" w:cs="宋体"/>
                      <w:color w:val="auto"/>
                      <w:kern w:val="0"/>
                      <w:sz w:val="21"/>
                      <w:szCs w:val="21"/>
                      <w:lang w:bidi="ar"/>
                    </w:rPr>
                    <w:t>振动筛</w:t>
                  </w:r>
                </w:p>
              </w:tc>
              <w:tc>
                <w:tcPr>
                  <w:tcW w:w="685" w:type="pct"/>
                  <w:vAlign w:val="center"/>
                </w:tcPr>
                <w:p>
                  <w:pPr>
                    <w:ind w:firstLine="0" w:firstLineChars="0"/>
                    <w:jc w:val="center"/>
                    <w:rPr>
                      <w:color w:val="auto"/>
                    </w:rPr>
                  </w:pPr>
                  <w:r>
                    <w:rPr>
                      <w:rFonts w:hint="eastAsia"/>
                      <w:color w:val="auto"/>
                    </w:rPr>
                    <w:t>厂区</w:t>
                  </w:r>
                </w:p>
              </w:tc>
              <w:tc>
                <w:tcPr>
                  <w:tcW w:w="471" w:type="pct"/>
                  <w:vAlign w:val="center"/>
                </w:tcPr>
                <w:p>
                  <w:pPr>
                    <w:ind w:firstLine="0" w:firstLineChars="0"/>
                    <w:jc w:val="center"/>
                    <w:rPr>
                      <w:color w:val="auto"/>
                    </w:rPr>
                  </w:pPr>
                  <w:r>
                    <w:rPr>
                      <w:rFonts w:hint="eastAsia"/>
                      <w:color w:val="auto"/>
                    </w:rPr>
                    <w:t>间断</w:t>
                  </w:r>
                </w:p>
              </w:tc>
              <w:tc>
                <w:tcPr>
                  <w:tcW w:w="677" w:type="pct"/>
                  <w:vAlign w:val="center"/>
                </w:tcPr>
                <w:p>
                  <w:pPr>
                    <w:adjustRightInd w:val="0"/>
                    <w:snapToGrid w:val="0"/>
                    <w:ind w:firstLine="0" w:firstLineChars="0"/>
                    <w:jc w:val="center"/>
                    <w:rPr>
                      <w:color w:val="auto"/>
                    </w:rPr>
                  </w:pPr>
                  <w:r>
                    <w:rPr>
                      <w:rFonts w:hint="eastAsia"/>
                      <w:color w:val="auto"/>
                    </w:rPr>
                    <w:t>90</w:t>
                  </w:r>
                </w:p>
              </w:tc>
              <w:tc>
                <w:tcPr>
                  <w:tcW w:w="1031" w:type="pct"/>
                  <w:vMerge w:val="continue"/>
                  <w:vAlign w:val="center"/>
                </w:tcPr>
                <w:p>
                  <w:pPr>
                    <w:adjustRightInd w:val="0"/>
                    <w:snapToGrid w:val="0"/>
                    <w:ind w:firstLine="0" w:firstLineChars="0"/>
                    <w:jc w:val="center"/>
                    <w:rPr>
                      <w:color w:val="auto"/>
                      <w:szCs w:val="21"/>
                    </w:rPr>
                  </w:pPr>
                </w:p>
              </w:tc>
              <w:tc>
                <w:tcPr>
                  <w:tcW w:w="667" w:type="pct"/>
                  <w:vAlign w:val="center"/>
                </w:tcPr>
                <w:p>
                  <w:pPr>
                    <w:adjustRightInd w:val="0"/>
                    <w:snapToGrid w:val="0"/>
                    <w:ind w:firstLine="0" w:firstLineChars="0"/>
                    <w:jc w:val="center"/>
                    <w:rPr>
                      <w:color w:val="auto"/>
                      <w:szCs w:val="21"/>
                    </w:rPr>
                  </w:pPr>
                  <w:r>
                    <w:rPr>
                      <w:rFonts w:hint="eastAsia"/>
                      <w:color w:val="auto"/>
                      <w:szCs w:val="21"/>
                    </w:rPr>
                    <w:t>70</w:t>
                  </w:r>
                </w:p>
              </w:tc>
            </w:tr>
          </w:tbl>
          <w:p>
            <w:pPr>
              <w:ind w:firstLine="480"/>
              <w:rPr>
                <w:color w:val="auto"/>
              </w:rPr>
            </w:pPr>
          </w:p>
          <w:p>
            <w:pPr>
              <w:ind w:firstLine="480"/>
              <w:rPr>
                <w:color w:val="auto"/>
              </w:rPr>
            </w:pPr>
            <w:r>
              <w:rPr>
                <w:rFonts w:hint="eastAsia"/>
                <w:color w:val="auto"/>
              </w:rPr>
              <w:t>（</w:t>
            </w:r>
            <w:r>
              <w:rPr>
                <w:color w:val="auto"/>
              </w:rPr>
              <w:t>2）预测模型及方法</w:t>
            </w:r>
          </w:p>
          <w:p>
            <w:pPr>
              <w:ind w:firstLine="480"/>
              <w:rPr>
                <w:color w:val="auto"/>
              </w:rPr>
            </w:pPr>
            <w:r>
              <w:rPr>
                <w:color w:val="auto"/>
              </w:rPr>
              <w:t>本项目噪声源主要是分布在厂房内，预测计算中，采用点声源等距离衰减预测模型，预测计算中主要公式有：</w:t>
            </w:r>
          </w:p>
          <w:p>
            <w:pPr>
              <w:adjustRightInd w:val="0"/>
              <w:snapToGrid w:val="0"/>
              <w:ind w:firstLine="480"/>
              <w:rPr>
                <w:color w:val="auto"/>
              </w:rPr>
            </w:pPr>
            <w:r>
              <w:rPr>
                <w:color w:val="auto"/>
              </w:rPr>
              <w:t>a、噪声衰减预测模式</w:t>
            </w:r>
          </w:p>
          <w:p>
            <w:pPr>
              <w:adjustRightInd w:val="0"/>
              <w:snapToGrid w:val="0"/>
              <w:ind w:firstLine="480"/>
              <w:rPr>
                <w:color w:val="auto"/>
              </w:rPr>
            </w:pPr>
            <w:r>
              <w:rPr>
                <w:color w:val="auto"/>
              </w:rPr>
              <w:t>噪声传播到受声源，受传播距离，空气吸收，阻挡物的反射与屏障等因素的影响而产生衰减。其预测模式如下：</w:t>
            </w:r>
          </w:p>
          <w:p>
            <w:pPr>
              <w:adjustRightInd w:val="0"/>
              <w:snapToGrid w:val="0"/>
              <w:ind w:firstLine="480"/>
              <w:jc w:val="center"/>
              <w:rPr>
                <w:color w:val="auto"/>
              </w:rPr>
            </w:pPr>
            <w:r>
              <w:rPr>
                <w:color w:val="auto"/>
              </w:rPr>
              <w:t>LA（r）=LA（r0）－A</w:t>
            </w:r>
          </w:p>
          <w:p>
            <w:pPr>
              <w:adjustRightInd w:val="0"/>
              <w:snapToGrid w:val="0"/>
              <w:ind w:firstLine="480"/>
              <w:jc w:val="center"/>
              <w:rPr>
                <w:color w:val="auto"/>
              </w:rPr>
            </w:pPr>
            <w:r>
              <w:rPr>
                <w:color w:val="auto"/>
              </w:rPr>
              <w:t>A=Adiv+Abar+Aatm+Agr+Amisc</w:t>
            </w:r>
          </w:p>
          <w:p>
            <w:pPr>
              <w:adjustRightInd w:val="0"/>
              <w:snapToGrid w:val="0"/>
              <w:ind w:firstLine="480"/>
              <w:rPr>
                <w:color w:val="auto"/>
              </w:rPr>
            </w:pPr>
            <w:r>
              <w:rPr>
                <w:color w:val="auto"/>
              </w:rPr>
              <w:t>式中：LA(r)－距声源r处的A声级，dB（A）；</w:t>
            </w:r>
          </w:p>
          <w:p>
            <w:pPr>
              <w:adjustRightInd w:val="0"/>
              <w:snapToGrid w:val="0"/>
              <w:ind w:firstLine="480"/>
              <w:rPr>
                <w:color w:val="auto"/>
              </w:rPr>
            </w:pPr>
            <w:r>
              <w:rPr>
                <w:color w:val="auto"/>
              </w:rPr>
              <w:t>LA(r0)－参考位置r0处的A声级，dB（A）；</w:t>
            </w:r>
          </w:p>
          <w:p>
            <w:pPr>
              <w:adjustRightInd w:val="0"/>
              <w:snapToGrid w:val="0"/>
              <w:ind w:firstLine="480"/>
              <w:rPr>
                <w:color w:val="auto"/>
              </w:rPr>
            </w:pPr>
            <w:r>
              <w:rPr>
                <w:color w:val="auto"/>
              </w:rPr>
              <w:t>A—倍频带衰减，dB；</w:t>
            </w:r>
          </w:p>
          <w:p>
            <w:pPr>
              <w:adjustRightInd w:val="0"/>
              <w:snapToGrid w:val="0"/>
              <w:ind w:firstLine="480"/>
              <w:rPr>
                <w:color w:val="auto"/>
              </w:rPr>
            </w:pPr>
            <w:r>
              <w:rPr>
                <w:color w:val="auto"/>
              </w:rPr>
              <w:t>Adiv－几何发散所引起的倍频带衰减，即距离所引起的衰减，无指向性点声源几何发散衰减的基本公式为：Adiv＝20lg(r/r0)；</w:t>
            </w:r>
          </w:p>
          <w:p>
            <w:pPr>
              <w:adjustRightInd w:val="0"/>
              <w:snapToGrid w:val="0"/>
              <w:ind w:firstLine="480"/>
              <w:rPr>
                <w:color w:val="auto"/>
              </w:rPr>
            </w:pPr>
            <w:r>
              <w:rPr>
                <w:color w:val="auto"/>
              </w:rPr>
              <w:t>Abar－屏障物所引起的的倍频带衰减。</w:t>
            </w:r>
          </w:p>
          <w:p>
            <w:pPr>
              <w:adjustRightInd w:val="0"/>
              <w:snapToGrid w:val="0"/>
              <w:ind w:firstLine="480"/>
              <w:rPr>
                <w:color w:val="auto"/>
              </w:rPr>
            </w:pPr>
            <w:r>
              <w:rPr>
                <w:color w:val="auto"/>
              </w:rPr>
              <w:t>Aatm－空气吸收所引起的倍频带衰减，一般情况下可忽略不计。</w:t>
            </w:r>
          </w:p>
          <w:p>
            <w:pPr>
              <w:adjustRightInd w:val="0"/>
              <w:snapToGrid w:val="0"/>
              <w:ind w:firstLine="480"/>
              <w:rPr>
                <w:color w:val="auto"/>
              </w:rPr>
            </w:pPr>
            <w:r>
              <w:rPr>
                <w:color w:val="auto"/>
              </w:rPr>
              <w:t>Agr－地面效应所引起的倍频带衰减，本项目不考虑地面效应。</w:t>
            </w:r>
          </w:p>
          <w:p>
            <w:pPr>
              <w:adjustRightInd w:val="0"/>
              <w:snapToGrid w:val="0"/>
              <w:ind w:firstLine="480"/>
              <w:rPr>
                <w:color w:val="auto"/>
              </w:rPr>
            </w:pPr>
            <w:r>
              <w:rPr>
                <w:color w:val="auto"/>
              </w:rPr>
              <w:t>Amisc－其他多方面倍频带衰减，一般情况下环境影响评价中，不需考虑附加影响。</w:t>
            </w:r>
          </w:p>
          <w:p>
            <w:pPr>
              <w:adjustRightInd w:val="0"/>
              <w:snapToGrid w:val="0"/>
              <w:ind w:firstLine="480"/>
              <w:rPr>
                <w:color w:val="auto"/>
              </w:rPr>
            </w:pPr>
            <w:r>
              <w:rPr>
                <w:color w:val="auto"/>
              </w:rPr>
              <w:t>b、预测点的A声级叠加公式：</w:t>
            </w:r>
          </w:p>
          <w:p>
            <w:pPr>
              <w:tabs>
                <w:tab w:val="left" w:pos="4620"/>
              </w:tabs>
              <w:adjustRightInd w:val="0"/>
              <w:snapToGrid w:val="0"/>
              <w:ind w:firstLine="480"/>
              <w:rPr>
                <w:color w:val="auto"/>
              </w:rPr>
            </w:pPr>
            <w:r>
              <w:rPr>
                <w:color w:val="auto"/>
              </w:rPr>
              <w:t>各受声点的声源叠加按下列公式计算：</w:t>
            </w:r>
          </w:p>
          <w:p>
            <w:pPr>
              <w:tabs>
                <w:tab w:val="left" w:pos="4620"/>
              </w:tabs>
              <w:adjustRightInd w:val="0"/>
              <w:snapToGrid w:val="0"/>
              <w:ind w:firstLine="480"/>
              <w:jc w:val="center"/>
              <w:rPr>
                <w:color w:val="auto"/>
              </w:rPr>
            </w:pPr>
            <w:r>
              <w:rPr>
                <w:color w:val="auto"/>
              </w:rPr>
              <w:object>
                <v:shape id="_x0000_i1025" o:spt="75" type="#_x0000_t75" style="height:30.75pt;width:94.5pt;" o:ole="t" filled="f" o:preferrelative="t" stroked="f" coordsize="21600,21600">
                  <v:path/>
                  <v:fill on="f" focussize="0,0"/>
                  <v:stroke on="f" joinstyle="miter"/>
                  <v:imagedata r:id="rId23" o:title=""/>
                  <o:lock v:ext="edit" aspectratio="t"/>
                  <w10:wrap type="none"/>
                  <w10:anchorlock/>
                </v:shape>
                <o:OLEObject Type="Embed" ProgID="Equation.3" ShapeID="_x0000_i1025" DrawAspect="Content" ObjectID="_1468075725" r:id="rId22">
                  <o:LockedField>false</o:LockedField>
                </o:OLEObject>
              </w:object>
            </w:r>
          </w:p>
          <w:p>
            <w:pPr>
              <w:tabs>
                <w:tab w:val="left" w:pos="4620"/>
              </w:tabs>
              <w:adjustRightInd w:val="0"/>
              <w:snapToGrid w:val="0"/>
              <w:ind w:firstLine="480"/>
              <w:rPr>
                <w:color w:val="auto"/>
              </w:rPr>
            </w:pPr>
            <w:r>
              <w:rPr>
                <w:color w:val="auto"/>
              </w:rPr>
              <w:t>式中：LA——距声源r处的总A声级；</w:t>
            </w:r>
          </w:p>
          <w:p>
            <w:pPr>
              <w:tabs>
                <w:tab w:val="left" w:pos="4620"/>
              </w:tabs>
              <w:adjustRightInd w:val="0"/>
              <w:snapToGrid w:val="0"/>
              <w:ind w:firstLine="600" w:firstLineChars="250"/>
              <w:rPr>
                <w:color w:val="auto"/>
              </w:rPr>
            </w:pPr>
            <w:r>
              <w:rPr>
                <w:color w:val="auto"/>
              </w:rPr>
              <w:t>n——声源数量；</w:t>
            </w:r>
          </w:p>
          <w:p>
            <w:pPr>
              <w:tabs>
                <w:tab w:val="left" w:pos="4620"/>
              </w:tabs>
              <w:adjustRightInd w:val="0"/>
              <w:snapToGrid w:val="0"/>
              <w:ind w:firstLine="600" w:firstLineChars="250"/>
              <w:rPr>
                <w:color w:val="auto"/>
              </w:rPr>
            </w:pPr>
            <w:r>
              <w:rPr>
                <w:color w:val="auto"/>
              </w:rPr>
              <w:t>Li——第i个声源的A声级，dB（A）。</w:t>
            </w:r>
          </w:p>
          <w:p>
            <w:pPr>
              <w:tabs>
                <w:tab w:val="left" w:pos="4620"/>
              </w:tabs>
              <w:adjustRightInd w:val="0"/>
              <w:snapToGrid w:val="0"/>
              <w:ind w:firstLine="480"/>
              <w:rPr>
                <w:color w:val="auto"/>
              </w:rPr>
            </w:pPr>
            <w:r>
              <w:rPr>
                <w:color w:val="auto"/>
              </w:rPr>
              <w:t>本项目噪声衰减除几何发散衰减后的其他衰减（包括空气吸收衰减、屏障物和地面效应引起的衰减、其他附加衰减）取值的因素很多，项目加工设备均位于车间内，本报告主要考虑墙壁隔声</w:t>
            </w:r>
            <w:r>
              <w:rPr>
                <w:rFonts w:hint="eastAsia"/>
                <w:color w:val="auto"/>
              </w:rPr>
              <w:t>、安装减震垫、</w:t>
            </w:r>
            <w:r>
              <w:rPr>
                <w:color w:val="auto"/>
              </w:rPr>
              <w:t>距离衰减影响，衰减值取</w:t>
            </w:r>
            <w:r>
              <w:rPr>
                <w:rFonts w:hint="eastAsia"/>
                <w:color w:val="auto"/>
              </w:rPr>
              <w:t>15</w:t>
            </w:r>
            <w:r>
              <w:rPr>
                <w:color w:val="auto"/>
              </w:rPr>
              <w:t>dB(A)。</w:t>
            </w:r>
          </w:p>
          <w:p>
            <w:pPr>
              <w:ind w:firstLine="480"/>
              <w:rPr>
                <w:color w:val="auto"/>
              </w:rPr>
            </w:pPr>
            <w:r>
              <w:rPr>
                <w:rFonts w:hint="eastAsia"/>
                <w:color w:val="auto"/>
              </w:rPr>
              <w:t>（</w:t>
            </w:r>
            <w:r>
              <w:rPr>
                <w:color w:val="auto"/>
              </w:rPr>
              <w:t>3）预测点</w:t>
            </w:r>
          </w:p>
          <w:p>
            <w:pPr>
              <w:ind w:firstLine="480"/>
              <w:rPr>
                <w:color w:val="auto"/>
              </w:rPr>
            </w:pPr>
            <w:r>
              <w:rPr>
                <w:color w:val="auto"/>
              </w:rPr>
              <w:t>根据项目周围环境关系，项目周边50m范围内无敏感点，本次主要预测厂界噪声达标情况。</w:t>
            </w:r>
          </w:p>
          <w:p>
            <w:pPr>
              <w:ind w:firstLine="480"/>
              <w:rPr>
                <w:color w:val="auto"/>
              </w:rPr>
            </w:pPr>
            <w:r>
              <w:rPr>
                <w:rFonts w:hint="eastAsia"/>
                <w:color w:val="auto"/>
              </w:rPr>
              <w:t>（</w:t>
            </w:r>
            <w:r>
              <w:rPr>
                <w:color w:val="auto"/>
              </w:rPr>
              <w:t>4）厂界噪声预测结果</w:t>
            </w:r>
          </w:p>
          <w:p>
            <w:pPr>
              <w:ind w:firstLine="480"/>
              <w:rPr>
                <w:color w:val="auto"/>
              </w:rPr>
            </w:pPr>
            <w:r>
              <w:rPr>
                <w:color w:val="auto"/>
              </w:rPr>
              <w:t>项目四周厂界噪声预测结果详见表4-</w:t>
            </w:r>
            <w:r>
              <w:rPr>
                <w:rFonts w:hint="eastAsia"/>
                <w:color w:val="auto"/>
              </w:rPr>
              <w:t>11</w:t>
            </w:r>
            <w:r>
              <w:rPr>
                <w:color w:val="auto"/>
              </w:rPr>
              <w:t>。</w:t>
            </w:r>
          </w:p>
          <w:p>
            <w:pPr>
              <w:ind w:firstLine="480"/>
              <w:jc w:val="center"/>
              <w:rPr>
                <w:color w:val="auto"/>
              </w:rPr>
            </w:pPr>
            <w:r>
              <w:rPr>
                <w:color w:val="auto"/>
              </w:rPr>
              <w:t>表4-</w:t>
            </w:r>
            <w:r>
              <w:rPr>
                <w:rFonts w:hint="eastAsia"/>
                <w:color w:val="auto"/>
              </w:rPr>
              <w:t>11</w:t>
            </w:r>
            <w:r>
              <w:rPr>
                <w:color w:val="auto"/>
              </w:rPr>
              <w:t>厂界噪声预测结果单位：dB（A）</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4"/>
              <w:gridCol w:w="1370"/>
              <w:gridCol w:w="1700"/>
              <w:gridCol w:w="1768"/>
              <w:gridCol w:w="1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7" w:type="pct"/>
                  <w:vMerge w:val="restart"/>
                  <w:vAlign w:val="center"/>
                </w:tcPr>
                <w:p>
                  <w:pPr>
                    <w:adjustRightInd w:val="0"/>
                    <w:snapToGrid w:val="0"/>
                    <w:ind w:left="-120" w:leftChars="-50" w:right="-120" w:rightChars="-50" w:firstLine="0" w:firstLineChars="0"/>
                    <w:jc w:val="center"/>
                    <w:rPr>
                      <w:color w:val="auto"/>
                      <w:sz w:val="21"/>
                      <w:szCs w:val="21"/>
                    </w:rPr>
                  </w:pPr>
                  <w:r>
                    <w:rPr>
                      <w:color w:val="auto"/>
                      <w:sz w:val="21"/>
                      <w:szCs w:val="21"/>
                    </w:rPr>
                    <w:t>噪声源</w:t>
                  </w:r>
                </w:p>
              </w:tc>
              <w:tc>
                <w:tcPr>
                  <w:tcW w:w="4112" w:type="pct"/>
                  <w:gridSpan w:val="4"/>
                  <w:vAlign w:val="center"/>
                </w:tcPr>
                <w:p>
                  <w:pPr>
                    <w:adjustRightInd w:val="0"/>
                    <w:snapToGrid w:val="0"/>
                    <w:ind w:left="-120" w:leftChars="-50" w:right="-120" w:rightChars="-50" w:firstLine="0" w:firstLineChars="0"/>
                    <w:jc w:val="center"/>
                    <w:rPr>
                      <w:color w:val="auto"/>
                      <w:sz w:val="21"/>
                      <w:szCs w:val="21"/>
                    </w:rPr>
                  </w:pPr>
                  <w:r>
                    <w:rPr>
                      <w:color w:val="auto"/>
                      <w:sz w:val="21"/>
                      <w:szCs w:val="21"/>
                    </w:rPr>
                    <w:t>贡献值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7" w:type="pct"/>
                  <w:vMerge w:val="continue"/>
                  <w:vAlign w:val="center"/>
                </w:tcPr>
                <w:p>
                  <w:pPr>
                    <w:adjustRightInd w:val="0"/>
                    <w:snapToGrid w:val="0"/>
                    <w:ind w:left="-120" w:leftChars="-50" w:right="-120" w:rightChars="-50" w:firstLine="0" w:firstLineChars="0"/>
                    <w:jc w:val="center"/>
                    <w:rPr>
                      <w:color w:val="auto"/>
                      <w:sz w:val="21"/>
                      <w:szCs w:val="21"/>
                    </w:rPr>
                  </w:pPr>
                </w:p>
              </w:tc>
              <w:tc>
                <w:tcPr>
                  <w:tcW w:w="865" w:type="pct"/>
                  <w:vAlign w:val="center"/>
                </w:tcPr>
                <w:p>
                  <w:pPr>
                    <w:adjustRightInd w:val="0"/>
                    <w:snapToGrid w:val="0"/>
                    <w:ind w:left="-120" w:leftChars="-50" w:right="-120" w:rightChars="-50" w:firstLine="0" w:firstLineChars="0"/>
                    <w:jc w:val="center"/>
                    <w:rPr>
                      <w:color w:val="auto"/>
                      <w:sz w:val="21"/>
                      <w:szCs w:val="21"/>
                    </w:rPr>
                  </w:pPr>
                  <w:r>
                    <w:rPr>
                      <w:color w:val="auto"/>
                      <w:sz w:val="21"/>
                      <w:szCs w:val="21"/>
                    </w:rPr>
                    <w:t>东厂界</w:t>
                  </w:r>
                </w:p>
              </w:tc>
              <w:tc>
                <w:tcPr>
                  <w:tcW w:w="1073" w:type="pct"/>
                  <w:vAlign w:val="center"/>
                </w:tcPr>
                <w:p>
                  <w:pPr>
                    <w:adjustRightInd w:val="0"/>
                    <w:snapToGrid w:val="0"/>
                    <w:ind w:left="-120" w:leftChars="-50" w:right="-120" w:rightChars="-50" w:firstLine="0" w:firstLineChars="0"/>
                    <w:jc w:val="center"/>
                    <w:rPr>
                      <w:color w:val="auto"/>
                      <w:sz w:val="21"/>
                      <w:szCs w:val="21"/>
                    </w:rPr>
                  </w:pPr>
                  <w:r>
                    <w:rPr>
                      <w:color w:val="auto"/>
                      <w:sz w:val="21"/>
                      <w:szCs w:val="21"/>
                    </w:rPr>
                    <w:t>南厂界</w:t>
                  </w:r>
                </w:p>
              </w:tc>
              <w:tc>
                <w:tcPr>
                  <w:tcW w:w="1116" w:type="pct"/>
                  <w:vAlign w:val="center"/>
                </w:tcPr>
                <w:p>
                  <w:pPr>
                    <w:adjustRightInd w:val="0"/>
                    <w:snapToGrid w:val="0"/>
                    <w:ind w:left="-120" w:leftChars="-50" w:right="-120" w:rightChars="-50" w:firstLine="0" w:firstLineChars="0"/>
                    <w:jc w:val="center"/>
                    <w:rPr>
                      <w:color w:val="auto"/>
                      <w:sz w:val="21"/>
                      <w:szCs w:val="21"/>
                    </w:rPr>
                  </w:pPr>
                  <w:r>
                    <w:rPr>
                      <w:color w:val="auto"/>
                      <w:sz w:val="21"/>
                      <w:szCs w:val="21"/>
                    </w:rPr>
                    <w:t>西厂界</w:t>
                  </w:r>
                </w:p>
              </w:tc>
              <w:tc>
                <w:tcPr>
                  <w:tcW w:w="1058" w:type="pct"/>
                  <w:vAlign w:val="center"/>
                </w:tcPr>
                <w:p>
                  <w:pPr>
                    <w:adjustRightInd w:val="0"/>
                    <w:snapToGrid w:val="0"/>
                    <w:ind w:left="-120" w:leftChars="-50" w:right="-120" w:rightChars="-50" w:firstLine="0" w:firstLineChars="0"/>
                    <w:jc w:val="center"/>
                    <w:rPr>
                      <w:color w:val="auto"/>
                      <w:sz w:val="21"/>
                      <w:szCs w:val="21"/>
                    </w:rPr>
                  </w:pPr>
                  <w:r>
                    <w:rPr>
                      <w:color w:val="auto"/>
                      <w:sz w:val="21"/>
                      <w:szCs w:val="21"/>
                    </w:rPr>
                    <w:t>北厂界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7" w:type="pct"/>
                  <w:vAlign w:val="bottom"/>
                </w:tcPr>
                <w:p>
                  <w:pPr>
                    <w:widowControl/>
                    <w:ind w:firstLine="0" w:firstLineChars="0"/>
                    <w:jc w:val="center"/>
                    <w:rPr>
                      <w:color w:val="auto"/>
                      <w:sz w:val="21"/>
                      <w:szCs w:val="21"/>
                    </w:rPr>
                  </w:pPr>
                  <w:r>
                    <w:rPr>
                      <w:color w:val="auto"/>
                      <w:sz w:val="21"/>
                      <w:szCs w:val="21"/>
                    </w:rPr>
                    <w:t>贡献值</w:t>
                  </w:r>
                </w:p>
              </w:tc>
              <w:tc>
                <w:tcPr>
                  <w:tcW w:w="865" w:type="pct"/>
                  <w:vAlign w:val="center"/>
                </w:tcPr>
                <w:p>
                  <w:pPr>
                    <w:widowControl/>
                    <w:ind w:firstLine="0" w:firstLineChars="0"/>
                    <w:jc w:val="center"/>
                    <w:textAlignment w:val="center"/>
                    <w:rPr>
                      <w:color w:val="auto"/>
                      <w:sz w:val="21"/>
                      <w:szCs w:val="21"/>
                    </w:rPr>
                  </w:pPr>
                  <w:r>
                    <w:rPr>
                      <w:rFonts w:hint="eastAsia"/>
                      <w:color w:val="auto"/>
                      <w:sz w:val="21"/>
                      <w:szCs w:val="21"/>
                    </w:rPr>
                    <w:t>53.9</w:t>
                  </w:r>
                </w:p>
              </w:tc>
              <w:tc>
                <w:tcPr>
                  <w:tcW w:w="1073" w:type="pct"/>
                  <w:vAlign w:val="center"/>
                </w:tcPr>
                <w:p>
                  <w:pPr>
                    <w:widowControl/>
                    <w:ind w:firstLine="0" w:firstLineChars="0"/>
                    <w:jc w:val="center"/>
                    <w:textAlignment w:val="center"/>
                    <w:rPr>
                      <w:color w:val="auto"/>
                      <w:sz w:val="21"/>
                      <w:szCs w:val="21"/>
                    </w:rPr>
                  </w:pPr>
                  <w:r>
                    <w:rPr>
                      <w:rFonts w:hint="eastAsia"/>
                      <w:color w:val="auto"/>
                      <w:sz w:val="21"/>
                      <w:szCs w:val="21"/>
                    </w:rPr>
                    <w:t>51.5</w:t>
                  </w:r>
                </w:p>
              </w:tc>
              <w:tc>
                <w:tcPr>
                  <w:tcW w:w="1116" w:type="pct"/>
                  <w:vAlign w:val="center"/>
                </w:tcPr>
                <w:p>
                  <w:pPr>
                    <w:widowControl/>
                    <w:ind w:firstLine="0" w:firstLineChars="0"/>
                    <w:jc w:val="center"/>
                    <w:textAlignment w:val="center"/>
                    <w:rPr>
                      <w:color w:val="auto"/>
                      <w:sz w:val="21"/>
                      <w:szCs w:val="21"/>
                    </w:rPr>
                  </w:pPr>
                  <w:r>
                    <w:rPr>
                      <w:rFonts w:hint="eastAsia"/>
                      <w:color w:val="auto"/>
                      <w:sz w:val="21"/>
                      <w:szCs w:val="21"/>
                    </w:rPr>
                    <w:t>53.0</w:t>
                  </w:r>
                </w:p>
              </w:tc>
              <w:tc>
                <w:tcPr>
                  <w:tcW w:w="1058" w:type="pct"/>
                  <w:vAlign w:val="center"/>
                </w:tcPr>
                <w:p>
                  <w:pPr>
                    <w:widowControl/>
                    <w:ind w:firstLine="0" w:firstLineChars="0"/>
                    <w:jc w:val="center"/>
                    <w:textAlignment w:val="center"/>
                    <w:rPr>
                      <w:color w:val="auto"/>
                      <w:sz w:val="21"/>
                      <w:szCs w:val="21"/>
                    </w:rPr>
                  </w:pPr>
                  <w:r>
                    <w:rPr>
                      <w:rFonts w:hint="eastAsia"/>
                      <w:color w:val="auto"/>
                      <w:sz w:val="21"/>
                      <w:szCs w:val="21"/>
                    </w:rPr>
                    <w:t>51.2</w:t>
                  </w:r>
                </w:p>
              </w:tc>
            </w:tr>
          </w:tbl>
          <w:p>
            <w:pPr>
              <w:adjustRightInd w:val="0"/>
              <w:snapToGrid w:val="0"/>
              <w:ind w:firstLine="480"/>
              <w:rPr>
                <w:color w:val="auto"/>
              </w:rPr>
            </w:pPr>
          </w:p>
          <w:p>
            <w:pPr>
              <w:adjustRightInd w:val="0"/>
              <w:snapToGrid w:val="0"/>
              <w:ind w:firstLine="480"/>
              <w:rPr>
                <w:color w:val="auto"/>
              </w:rPr>
            </w:pPr>
            <w:r>
              <w:rPr>
                <w:color w:val="auto"/>
              </w:rPr>
              <w:t>由上表可知，</w:t>
            </w:r>
            <w:r>
              <w:rPr>
                <w:rFonts w:hint="eastAsia"/>
                <w:color w:val="auto"/>
              </w:rPr>
              <w:t>项目东、南、西、北</w:t>
            </w:r>
            <w:r>
              <w:rPr>
                <w:color w:val="auto"/>
              </w:rPr>
              <w:t>厂界噪声可满足《工业企业厂界环境噪声排放标准》（GB12348-2008）中3类标准，即：昼间≤65dB(A)，</w:t>
            </w:r>
            <w:r>
              <w:rPr>
                <w:rFonts w:hint="eastAsia"/>
                <w:color w:val="auto"/>
              </w:rPr>
              <w:t>夜间≤55</w:t>
            </w:r>
            <w:r>
              <w:rPr>
                <w:color w:val="auto"/>
              </w:rPr>
              <w:t>dB(A)</w:t>
            </w:r>
            <w:r>
              <w:rPr>
                <w:rFonts w:hint="eastAsia"/>
                <w:color w:val="auto"/>
              </w:rPr>
              <w:t>，</w:t>
            </w:r>
            <w:r>
              <w:rPr>
                <w:color w:val="auto"/>
              </w:rPr>
              <w:t>对周围环境影响较小。</w:t>
            </w:r>
          </w:p>
          <w:p>
            <w:pPr>
              <w:pStyle w:val="80"/>
              <w:adjustRightInd w:val="0"/>
              <w:snapToGrid w:val="0"/>
              <w:ind w:firstLine="480"/>
              <w:jc w:val="both"/>
              <w:rPr>
                <w:color w:val="auto"/>
              </w:rPr>
            </w:pPr>
            <w:r>
              <w:rPr>
                <w:rFonts w:hint="eastAsia"/>
                <w:color w:val="auto"/>
              </w:rPr>
              <w:t>（2）监测要求</w:t>
            </w:r>
          </w:p>
          <w:p>
            <w:pPr>
              <w:adjustRightInd w:val="0"/>
              <w:snapToGrid w:val="0"/>
              <w:ind w:firstLine="480"/>
              <w:rPr>
                <w:color w:val="auto"/>
              </w:rPr>
            </w:pPr>
            <w:r>
              <w:rPr>
                <w:rFonts w:hint="eastAsia"/>
                <w:color w:val="auto"/>
              </w:rPr>
              <w:t>监测要求详见下表。</w:t>
            </w:r>
          </w:p>
          <w:p>
            <w:pPr>
              <w:pStyle w:val="80"/>
              <w:adjustRightInd w:val="0"/>
              <w:snapToGrid w:val="0"/>
              <w:ind w:firstLine="480"/>
              <w:rPr>
                <w:color w:val="auto"/>
              </w:rPr>
            </w:pPr>
            <w:r>
              <w:rPr>
                <w:rFonts w:hint="eastAsia"/>
                <w:color w:val="auto"/>
              </w:rPr>
              <w:t>表4-12噪声监测计划一览表</w:t>
            </w:r>
          </w:p>
          <w:tbl>
            <w:tblPr>
              <w:tblStyle w:val="3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8"/>
              <w:gridCol w:w="2269"/>
              <w:gridCol w:w="2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2" w:type="pct"/>
                  <w:vAlign w:val="center"/>
                </w:tcPr>
                <w:p>
                  <w:pPr>
                    <w:pStyle w:val="80"/>
                    <w:adjustRightInd w:val="0"/>
                    <w:snapToGrid w:val="0"/>
                    <w:ind w:firstLine="0" w:firstLineChars="0"/>
                    <w:rPr>
                      <w:color w:val="auto"/>
                      <w:sz w:val="21"/>
                      <w:szCs w:val="21"/>
                    </w:rPr>
                  </w:pPr>
                  <w:r>
                    <w:rPr>
                      <w:rFonts w:hint="eastAsia"/>
                      <w:color w:val="auto"/>
                      <w:sz w:val="21"/>
                      <w:szCs w:val="21"/>
                    </w:rPr>
                    <w:t>监测点位</w:t>
                  </w:r>
                </w:p>
              </w:tc>
              <w:tc>
                <w:tcPr>
                  <w:tcW w:w="1432" w:type="pct"/>
                  <w:vAlign w:val="center"/>
                </w:tcPr>
                <w:p>
                  <w:pPr>
                    <w:pStyle w:val="80"/>
                    <w:adjustRightInd w:val="0"/>
                    <w:snapToGrid w:val="0"/>
                    <w:ind w:firstLine="0" w:firstLineChars="0"/>
                    <w:rPr>
                      <w:color w:val="auto"/>
                      <w:sz w:val="21"/>
                      <w:szCs w:val="21"/>
                    </w:rPr>
                  </w:pPr>
                  <w:r>
                    <w:rPr>
                      <w:rFonts w:hint="eastAsia"/>
                      <w:color w:val="auto"/>
                      <w:sz w:val="21"/>
                      <w:szCs w:val="21"/>
                    </w:rPr>
                    <w:t>监测项目</w:t>
                  </w:r>
                </w:p>
              </w:tc>
              <w:tc>
                <w:tcPr>
                  <w:tcW w:w="1554" w:type="pct"/>
                  <w:vAlign w:val="center"/>
                </w:tcPr>
                <w:p>
                  <w:pPr>
                    <w:pStyle w:val="80"/>
                    <w:adjustRightInd w:val="0"/>
                    <w:snapToGrid w:val="0"/>
                    <w:ind w:firstLine="0" w:firstLineChars="0"/>
                    <w:rPr>
                      <w:color w:val="auto"/>
                      <w:sz w:val="21"/>
                      <w:szCs w:val="21"/>
                    </w:rPr>
                  </w:pPr>
                  <w:r>
                    <w:rPr>
                      <w:rFonts w:hint="eastAsia"/>
                      <w:color w:val="auto"/>
                      <w:sz w:val="21"/>
                      <w:szCs w:val="21"/>
                    </w:rPr>
                    <w:t>时间、频次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2" w:type="pct"/>
                  <w:vAlign w:val="center"/>
                </w:tcPr>
                <w:p>
                  <w:pPr>
                    <w:snapToGrid w:val="0"/>
                    <w:ind w:firstLine="0" w:firstLineChars="0"/>
                    <w:jc w:val="center"/>
                    <w:rPr>
                      <w:color w:val="auto"/>
                      <w:sz w:val="21"/>
                      <w:szCs w:val="21"/>
                    </w:rPr>
                  </w:pPr>
                  <w:r>
                    <w:rPr>
                      <w:rFonts w:hint="eastAsia"/>
                      <w:color w:val="auto"/>
                      <w:sz w:val="21"/>
                      <w:szCs w:val="21"/>
                    </w:rPr>
                    <w:t>沿项目区厂界东、南、西、北界外1m处布点监测</w:t>
                  </w:r>
                </w:p>
              </w:tc>
              <w:tc>
                <w:tcPr>
                  <w:tcW w:w="1432" w:type="pct"/>
                  <w:vAlign w:val="center"/>
                </w:tcPr>
                <w:p>
                  <w:pPr>
                    <w:pStyle w:val="80"/>
                    <w:adjustRightInd w:val="0"/>
                    <w:snapToGrid w:val="0"/>
                    <w:ind w:firstLine="0" w:firstLineChars="0"/>
                    <w:rPr>
                      <w:color w:val="auto"/>
                      <w:sz w:val="21"/>
                      <w:szCs w:val="21"/>
                    </w:rPr>
                  </w:pPr>
                  <w:r>
                    <w:rPr>
                      <w:rFonts w:hint="eastAsia"/>
                      <w:color w:val="auto"/>
                      <w:sz w:val="21"/>
                      <w:szCs w:val="21"/>
                    </w:rPr>
                    <w:t>等效声级Leq(dB(A))</w:t>
                  </w:r>
                </w:p>
              </w:tc>
              <w:tc>
                <w:tcPr>
                  <w:tcW w:w="1554" w:type="pct"/>
                  <w:vAlign w:val="center"/>
                </w:tcPr>
                <w:p>
                  <w:pPr>
                    <w:pStyle w:val="80"/>
                    <w:adjustRightInd w:val="0"/>
                    <w:snapToGrid w:val="0"/>
                    <w:ind w:firstLine="0" w:firstLineChars="0"/>
                    <w:rPr>
                      <w:color w:val="auto"/>
                      <w:sz w:val="21"/>
                      <w:szCs w:val="21"/>
                    </w:rPr>
                  </w:pPr>
                  <w:r>
                    <w:rPr>
                      <w:rFonts w:hint="eastAsia"/>
                      <w:color w:val="auto"/>
                      <w:sz w:val="21"/>
                      <w:szCs w:val="21"/>
                    </w:rPr>
                    <w:t>每季度至少开展一次监测</w:t>
                  </w:r>
                </w:p>
              </w:tc>
            </w:tr>
          </w:tbl>
          <w:p>
            <w:pPr>
              <w:ind w:firstLine="480"/>
              <w:rPr>
                <w:color w:val="auto"/>
              </w:rPr>
            </w:pPr>
          </w:p>
          <w:p>
            <w:pPr>
              <w:pStyle w:val="4"/>
              <w:rPr>
                <w:color w:val="auto"/>
              </w:rPr>
            </w:pPr>
            <w:r>
              <w:rPr>
                <w:rFonts w:hint="eastAsia"/>
                <w:color w:val="auto"/>
              </w:rPr>
              <w:t>4固体废物环境影响分析</w:t>
            </w:r>
          </w:p>
          <w:p>
            <w:pPr>
              <w:ind w:firstLine="480"/>
              <w:rPr>
                <w:color w:val="auto"/>
              </w:rPr>
            </w:pPr>
            <w:r>
              <w:rPr>
                <w:rFonts w:hint="eastAsia"/>
                <w:color w:val="auto"/>
              </w:rPr>
              <w:t>项目粉尘废气经除尘器收集的粉尘，全部回用于生产，不外排。因此，本项目固废主要为废骨料、废导热油、废润滑油、废油桶、电捕焦油、废活性炭、污泥以及生活垃圾等。</w:t>
            </w:r>
          </w:p>
          <w:p>
            <w:pPr>
              <w:pStyle w:val="5"/>
              <w:ind w:firstLine="281"/>
              <w:rPr>
                <w:color w:val="auto"/>
              </w:rPr>
            </w:pPr>
            <w:r>
              <w:rPr>
                <w:rFonts w:hint="eastAsia"/>
                <w:color w:val="auto"/>
              </w:rPr>
              <w:t>4.1生活垃圾</w:t>
            </w:r>
          </w:p>
          <w:p>
            <w:pPr>
              <w:ind w:firstLine="480"/>
              <w:rPr>
                <w:color w:val="auto"/>
              </w:rPr>
            </w:pPr>
            <w:r>
              <w:rPr>
                <w:color w:val="auto"/>
              </w:rPr>
              <w:t>本项目生产车间劳动定员</w:t>
            </w:r>
            <w:r>
              <w:rPr>
                <w:rFonts w:hint="eastAsia"/>
                <w:color w:val="auto"/>
              </w:rPr>
              <w:t>200</w:t>
            </w:r>
            <w:r>
              <w:rPr>
                <w:color w:val="auto"/>
              </w:rPr>
              <w:t>人，按每人每天产生垃圾0.5kg计，</w:t>
            </w:r>
            <w:r>
              <w:rPr>
                <w:rFonts w:hint="eastAsia"/>
                <w:color w:val="auto"/>
              </w:rPr>
              <w:t>产生的</w:t>
            </w:r>
            <w:r>
              <w:rPr>
                <w:rFonts w:hint="eastAsia" w:ascii="宋体" w:hAnsi="宋体" w:cs="宋体"/>
                <w:color w:val="auto"/>
                <w:kern w:val="0"/>
                <w:lang w:bidi="ar"/>
              </w:rPr>
              <w:t xml:space="preserve">厨房厨余垃圾也按 </w:t>
            </w:r>
            <w:r>
              <w:rPr>
                <w:color w:val="auto"/>
                <w:kern w:val="0"/>
                <w:lang w:bidi="ar"/>
              </w:rPr>
              <w:t>0.5kg/</w:t>
            </w:r>
            <w:r>
              <w:rPr>
                <w:rFonts w:hint="eastAsia" w:ascii="宋体" w:hAnsi="宋体" w:cs="宋体"/>
                <w:color w:val="auto"/>
                <w:kern w:val="0"/>
                <w:lang w:bidi="ar"/>
              </w:rPr>
              <w:t>人</w:t>
            </w:r>
            <w:r>
              <w:rPr>
                <w:color w:val="auto"/>
                <w:kern w:val="0"/>
                <w:lang w:bidi="ar"/>
              </w:rPr>
              <w:t xml:space="preserve">·d </w:t>
            </w:r>
            <w:r>
              <w:rPr>
                <w:rFonts w:hint="eastAsia" w:ascii="宋体" w:hAnsi="宋体" w:cs="宋体"/>
                <w:color w:val="auto"/>
                <w:kern w:val="0"/>
                <w:lang w:bidi="ar"/>
              </w:rPr>
              <w:t>计，则</w:t>
            </w:r>
            <w:r>
              <w:rPr>
                <w:color w:val="auto"/>
              </w:rPr>
              <w:t>生活垃圾产生量为</w:t>
            </w:r>
            <w:r>
              <w:rPr>
                <w:rFonts w:hint="eastAsia"/>
                <w:color w:val="auto"/>
              </w:rPr>
              <w:t>200</w:t>
            </w:r>
            <w:r>
              <w:rPr>
                <w:color w:val="auto"/>
              </w:rPr>
              <w:t>kg/d，</w:t>
            </w:r>
            <w:r>
              <w:rPr>
                <w:rFonts w:hint="eastAsia"/>
                <w:color w:val="auto"/>
              </w:rPr>
              <w:t>72</w:t>
            </w:r>
            <w:r>
              <w:rPr>
                <w:color w:val="auto"/>
              </w:rPr>
              <w:t>t/a。拟集中收集后，委托当地环卫部门定期清运处置。</w:t>
            </w:r>
          </w:p>
          <w:p>
            <w:pPr>
              <w:pStyle w:val="5"/>
              <w:ind w:firstLine="281"/>
              <w:rPr>
                <w:color w:val="auto"/>
              </w:rPr>
            </w:pPr>
            <w:r>
              <w:rPr>
                <w:rFonts w:hint="eastAsia"/>
                <w:color w:val="auto"/>
              </w:rPr>
              <w:t>4.2一般固体废物</w:t>
            </w:r>
          </w:p>
          <w:p>
            <w:pPr>
              <w:pStyle w:val="2"/>
              <w:spacing w:after="0"/>
              <w:ind w:firstLine="480"/>
              <w:rPr>
                <w:color w:val="auto"/>
                <w:sz w:val="24"/>
              </w:rPr>
            </w:pPr>
            <w:r>
              <w:rPr>
                <w:rFonts w:hint="eastAsia"/>
                <w:color w:val="auto"/>
                <w:sz w:val="24"/>
              </w:rPr>
              <w:t>（1）污泥</w:t>
            </w:r>
          </w:p>
          <w:p>
            <w:pPr>
              <w:pStyle w:val="2"/>
              <w:spacing w:after="0"/>
              <w:ind w:firstLine="480"/>
              <w:rPr>
                <w:color w:val="auto"/>
                <w:sz w:val="24"/>
              </w:rPr>
            </w:pPr>
            <w:r>
              <w:rPr>
                <w:rFonts w:hint="eastAsia"/>
                <w:color w:val="auto"/>
                <w:sz w:val="24"/>
              </w:rPr>
              <w:t>沉淀泥渣来源主要来源于车辆冲洗废水、初期雨水进行沉淀等处理，沉淀下的泥沙属一般固体废物，产生量约为2t/a，脱水后收集，外运至城建部门指定地点进行处置。</w:t>
            </w:r>
          </w:p>
          <w:p>
            <w:pPr>
              <w:pStyle w:val="2"/>
              <w:spacing w:after="0"/>
              <w:ind w:firstLine="480"/>
              <w:rPr>
                <w:color w:val="auto"/>
                <w:sz w:val="24"/>
              </w:rPr>
            </w:pPr>
            <w:r>
              <w:rPr>
                <w:rFonts w:hint="eastAsia"/>
                <w:color w:val="auto"/>
                <w:sz w:val="24"/>
              </w:rPr>
              <w:t>（2）布袋除尘器收集的粉尘</w:t>
            </w:r>
          </w:p>
          <w:p>
            <w:pPr>
              <w:pStyle w:val="2"/>
              <w:spacing w:after="0"/>
              <w:ind w:firstLine="480"/>
              <w:rPr>
                <w:color w:val="auto"/>
                <w:sz w:val="24"/>
              </w:rPr>
            </w:pPr>
            <w:r>
              <w:rPr>
                <w:rFonts w:hint="eastAsia"/>
                <w:color w:val="auto"/>
                <w:sz w:val="24"/>
              </w:rPr>
              <w:t>本项目配备多个布袋除尘器除尘，根据大气污染物源强计算结果，布袋除尘器收集的粉尘量为 42.66t/a。该部分固废集中收集后作为粉料回用于生产。</w:t>
            </w:r>
          </w:p>
          <w:p>
            <w:pPr>
              <w:ind w:firstLine="480"/>
              <w:jc w:val="left"/>
              <w:rPr>
                <w:color w:val="auto"/>
              </w:rPr>
            </w:pPr>
            <w:r>
              <w:rPr>
                <w:rFonts w:hint="eastAsia"/>
                <w:color w:val="auto"/>
              </w:rPr>
              <w:t>（3）废弃试验样品</w:t>
            </w:r>
          </w:p>
          <w:p>
            <w:pPr>
              <w:ind w:firstLine="480"/>
              <w:jc w:val="left"/>
              <w:rPr>
                <w:color w:val="auto"/>
              </w:rPr>
            </w:pPr>
            <w:r>
              <w:rPr>
                <w:color w:val="auto"/>
              </w:rPr>
              <w:t>类比同类型项目，</w:t>
            </w:r>
            <w:r>
              <w:rPr>
                <w:rFonts w:hint="eastAsia"/>
                <w:color w:val="auto"/>
              </w:rPr>
              <w:t>废弃试验样品产生量</w:t>
            </w:r>
            <w:r>
              <w:rPr>
                <w:color w:val="auto"/>
              </w:rPr>
              <w:t>约</w:t>
            </w:r>
            <w:r>
              <w:rPr>
                <w:rFonts w:hint="eastAsia"/>
                <w:color w:val="auto"/>
              </w:rPr>
              <w:t>2</w:t>
            </w:r>
            <w:r>
              <w:rPr>
                <w:color w:val="auto"/>
              </w:rPr>
              <w:t>t/a，属一般工业固体废物中</w:t>
            </w:r>
            <w:r>
              <w:rPr>
                <w:rFonts w:hint="eastAsia"/>
                <w:color w:val="auto"/>
              </w:rPr>
              <w:t>SW92污泥，</w:t>
            </w:r>
            <w:r>
              <w:rPr>
                <w:color w:val="auto"/>
              </w:rPr>
              <w:t>固废代码为900-0</w:t>
            </w:r>
            <w:r>
              <w:rPr>
                <w:rFonts w:hint="eastAsia"/>
                <w:color w:val="auto"/>
              </w:rPr>
              <w:t>01</w:t>
            </w:r>
            <w:r>
              <w:rPr>
                <w:color w:val="auto"/>
              </w:rPr>
              <w:t>-S</w:t>
            </w:r>
            <w:r>
              <w:rPr>
                <w:rFonts w:hint="eastAsia"/>
                <w:color w:val="auto"/>
              </w:rPr>
              <w:t>92</w:t>
            </w:r>
            <w:r>
              <w:rPr>
                <w:color w:val="auto"/>
              </w:rPr>
              <w:t>，经</w:t>
            </w:r>
            <w:r>
              <w:rPr>
                <w:rFonts w:hint="eastAsia"/>
                <w:color w:val="auto"/>
              </w:rPr>
              <w:t>收集后</w:t>
            </w:r>
            <w:r>
              <w:rPr>
                <w:color w:val="auto"/>
              </w:rPr>
              <w:t>回用</w:t>
            </w:r>
            <w:r>
              <w:rPr>
                <w:rFonts w:hint="eastAsia"/>
                <w:color w:val="auto"/>
              </w:rPr>
              <w:t>于生产，不外排</w:t>
            </w:r>
            <w:r>
              <w:rPr>
                <w:color w:val="auto"/>
              </w:rPr>
              <w:t>。</w:t>
            </w:r>
          </w:p>
          <w:p>
            <w:pPr>
              <w:pStyle w:val="5"/>
              <w:ind w:firstLine="281"/>
              <w:rPr>
                <w:color w:val="auto"/>
              </w:rPr>
            </w:pPr>
            <w:r>
              <w:rPr>
                <w:rFonts w:hint="eastAsia"/>
                <w:color w:val="auto"/>
              </w:rPr>
              <w:t>4.3危险废物</w:t>
            </w:r>
          </w:p>
          <w:p>
            <w:pPr>
              <w:pStyle w:val="2"/>
              <w:spacing w:after="0"/>
              <w:ind w:firstLine="480"/>
              <w:rPr>
                <w:color w:val="auto"/>
                <w:sz w:val="24"/>
              </w:rPr>
            </w:pPr>
            <w:r>
              <w:rPr>
                <w:rFonts w:hint="eastAsia"/>
                <w:color w:val="auto"/>
                <w:sz w:val="24"/>
              </w:rPr>
              <w:t>（1）废导热油</w:t>
            </w:r>
          </w:p>
          <w:p>
            <w:pPr>
              <w:pStyle w:val="2"/>
              <w:spacing w:after="0"/>
              <w:ind w:firstLine="480"/>
              <w:rPr>
                <w:color w:val="auto"/>
                <w:sz w:val="24"/>
              </w:rPr>
            </w:pPr>
            <w:r>
              <w:rPr>
                <w:rFonts w:hint="eastAsia"/>
                <w:color w:val="auto"/>
                <w:sz w:val="24"/>
              </w:rPr>
              <w:t>项目沥青罐加热保温采用导热油炉供热，导热油全密闭于导热油炉内，基本不会向外释放，每 5 年更换 1 次，更换产出废导热油约 17t，属于危险固废，</w:t>
            </w:r>
            <w:r>
              <w:rPr>
                <w:color w:val="auto"/>
                <w:sz w:val="24"/>
              </w:rPr>
              <w:t>类别代码为HW08</w:t>
            </w:r>
            <w:r>
              <w:rPr>
                <w:rFonts w:hint="eastAsia"/>
                <w:color w:val="auto"/>
                <w:sz w:val="24"/>
              </w:rPr>
              <w:t>（</w:t>
            </w:r>
            <w:r>
              <w:rPr>
                <w:color w:val="auto"/>
                <w:sz w:val="24"/>
              </w:rPr>
              <w:t>900-249-08</w:t>
            </w:r>
            <w:r>
              <w:rPr>
                <w:rFonts w:hint="eastAsia"/>
                <w:color w:val="auto"/>
                <w:sz w:val="24"/>
              </w:rPr>
              <w:t>），委托有资质单位直接拉运处置，不在厂区内暂存。</w:t>
            </w:r>
          </w:p>
          <w:p>
            <w:pPr>
              <w:pStyle w:val="2"/>
              <w:spacing w:after="0"/>
              <w:ind w:firstLine="480"/>
              <w:rPr>
                <w:color w:val="auto"/>
                <w:sz w:val="24"/>
              </w:rPr>
            </w:pPr>
            <w:r>
              <w:rPr>
                <w:rFonts w:hint="eastAsia"/>
                <w:color w:val="auto"/>
                <w:sz w:val="24"/>
              </w:rPr>
              <w:t>（2）废润滑油</w:t>
            </w:r>
          </w:p>
          <w:p>
            <w:pPr>
              <w:pStyle w:val="2"/>
              <w:spacing w:after="0"/>
              <w:ind w:firstLine="480"/>
              <w:rPr>
                <w:color w:val="auto"/>
                <w:sz w:val="24"/>
              </w:rPr>
            </w:pPr>
            <w:r>
              <w:rPr>
                <w:rFonts w:hint="eastAsia"/>
                <w:color w:val="auto"/>
                <w:sz w:val="24"/>
              </w:rPr>
              <w:t>本项目生产设备需用机油润滑，定期进行更换，更换下来的即为废油，本项目润滑油年使用量约为1t/a，则废润滑油产生量约为0.3t/a，属于危险固废，</w:t>
            </w:r>
            <w:r>
              <w:rPr>
                <w:color w:val="auto"/>
                <w:sz w:val="24"/>
              </w:rPr>
              <w:t>类别代码为HW08</w:t>
            </w:r>
            <w:r>
              <w:rPr>
                <w:rFonts w:hint="eastAsia"/>
                <w:color w:val="auto"/>
                <w:sz w:val="24"/>
              </w:rPr>
              <w:t>（</w:t>
            </w:r>
            <w:r>
              <w:rPr>
                <w:color w:val="auto"/>
                <w:sz w:val="24"/>
              </w:rPr>
              <w:t>900-249-08</w:t>
            </w:r>
            <w:r>
              <w:rPr>
                <w:rFonts w:hint="eastAsia"/>
                <w:color w:val="auto"/>
                <w:sz w:val="24"/>
              </w:rPr>
              <w:t>），委托有资质单位处置。</w:t>
            </w:r>
          </w:p>
          <w:p>
            <w:pPr>
              <w:pStyle w:val="2"/>
              <w:spacing w:after="0"/>
              <w:ind w:firstLine="480"/>
              <w:rPr>
                <w:color w:val="auto"/>
                <w:sz w:val="24"/>
              </w:rPr>
            </w:pPr>
            <w:r>
              <w:rPr>
                <w:rFonts w:hint="eastAsia"/>
                <w:color w:val="auto"/>
                <w:sz w:val="24"/>
              </w:rPr>
              <w:t>（3）废油桶</w:t>
            </w:r>
          </w:p>
          <w:p>
            <w:pPr>
              <w:pStyle w:val="2"/>
              <w:spacing w:after="0"/>
              <w:ind w:firstLine="480"/>
              <w:rPr>
                <w:color w:val="auto"/>
                <w:sz w:val="24"/>
              </w:rPr>
            </w:pPr>
            <w:r>
              <w:rPr>
                <w:rFonts w:hint="eastAsia"/>
                <w:color w:val="auto"/>
                <w:sz w:val="24"/>
              </w:rPr>
              <w:t>导热油及润滑油使用后将产生一定量的油桶，包装规格为 200L/桶，则废油桶产生量为 0.8t/a，属于危险固废，</w:t>
            </w:r>
            <w:r>
              <w:rPr>
                <w:color w:val="auto"/>
                <w:sz w:val="24"/>
              </w:rPr>
              <w:t>类别代码为HW08</w:t>
            </w:r>
            <w:r>
              <w:rPr>
                <w:rFonts w:hint="eastAsia"/>
                <w:color w:val="auto"/>
                <w:sz w:val="24"/>
              </w:rPr>
              <w:t>（</w:t>
            </w:r>
            <w:r>
              <w:rPr>
                <w:color w:val="auto"/>
                <w:sz w:val="24"/>
              </w:rPr>
              <w:t>900-249-08</w:t>
            </w:r>
            <w:r>
              <w:rPr>
                <w:rFonts w:hint="eastAsia"/>
                <w:color w:val="auto"/>
                <w:sz w:val="24"/>
              </w:rPr>
              <w:t>），委托有资质单位处置。</w:t>
            </w:r>
          </w:p>
          <w:p>
            <w:pPr>
              <w:pStyle w:val="2"/>
              <w:spacing w:after="0"/>
              <w:ind w:firstLine="480"/>
              <w:rPr>
                <w:color w:val="auto"/>
                <w:sz w:val="24"/>
              </w:rPr>
            </w:pPr>
            <w:r>
              <w:rPr>
                <w:rFonts w:hint="eastAsia"/>
                <w:color w:val="auto"/>
                <w:sz w:val="24"/>
              </w:rPr>
              <w:t>（4）废活性炭</w:t>
            </w:r>
          </w:p>
          <w:p>
            <w:pPr>
              <w:pStyle w:val="2"/>
              <w:spacing w:after="0"/>
              <w:ind w:firstLine="480"/>
              <w:rPr>
                <w:color w:val="auto"/>
                <w:sz w:val="24"/>
              </w:rPr>
            </w:pPr>
            <w:r>
              <w:rPr>
                <w:rFonts w:hint="eastAsia"/>
                <w:color w:val="auto"/>
                <w:sz w:val="24"/>
              </w:rPr>
              <w:t>项目设沥青烟气处理装置，均设活性炭吸脱附处理，长时间运行后废弃，产生废活性炭约为0.6t/a，属危险固废，</w:t>
            </w:r>
            <w:r>
              <w:rPr>
                <w:color w:val="auto"/>
                <w:sz w:val="24"/>
              </w:rPr>
              <w:t>类别代码为HW49（900-039-49）</w:t>
            </w:r>
            <w:r>
              <w:rPr>
                <w:rFonts w:hint="eastAsia"/>
                <w:color w:val="auto"/>
              </w:rPr>
              <w:t>，</w:t>
            </w:r>
            <w:r>
              <w:rPr>
                <w:rFonts w:hint="eastAsia"/>
                <w:color w:val="auto"/>
                <w:sz w:val="24"/>
              </w:rPr>
              <w:t>委托有资质单位处置。</w:t>
            </w:r>
          </w:p>
          <w:p>
            <w:pPr>
              <w:pStyle w:val="2"/>
              <w:spacing w:after="0"/>
              <w:ind w:firstLine="480"/>
              <w:rPr>
                <w:color w:val="auto"/>
                <w:sz w:val="24"/>
              </w:rPr>
            </w:pPr>
            <w:r>
              <w:rPr>
                <w:rFonts w:hint="eastAsia"/>
                <w:color w:val="auto"/>
                <w:sz w:val="24"/>
              </w:rPr>
              <w:t>（5）电捕焦油</w:t>
            </w:r>
          </w:p>
          <w:p>
            <w:pPr>
              <w:pStyle w:val="2"/>
              <w:spacing w:after="0"/>
              <w:ind w:firstLine="480"/>
              <w:rPr>
                <w:color w:val="auto"/>
                <w:sz w:val="24"/>
              </w:rPr>
            </w:pPr>
            <w:r>
              <w:rPr>
                <w:rFonts w:hint="eastAsia"/>
                <w:color w:val="auto"/>
                <w:sz w:val="24"/>
              </w:rPr>
              <w:t>项目采用电捕焦油器净化生产过程中产生的沥青烟、苯并[a]芘，经电捕焦油器捕集量约为0.39t/a。根据《国家危险废物名录（2025年版）》可知，电捕焦油属于危险废物，废物类别为HW49其他废物，废物代码为772-006-49，暂存于危废暂存间，定期委托具有相关危废处理资质的单位清运处置。</w:t>
            </w:r>
          </w:p>
          <w:p>
            <w:pPr>
              <w:pStyle w:val="5"/>
              <w:ind w:firstLine="281"/>
              <w:rPr>
                <w:color w:val="auto"/>
              </w:rPr>
            </w:pPr>
            <w:r>
              <w:rPr>
                <w:rFonts w:hint="eastAsia"/>
                <w:color w:val="auto"/>
              </w:rPr>
              <w:t>4.4</w:t>
            </w:r>
            <w:r>
              <w:rPr>
                <w:color w:val="auto"/>
              </w:rPr>
              <w:t>固废产排情况</w:t>
            </w:r>
          </w:p>
          <w:p>
            <w:pPr>
              <w:pStyle w:val="14"/>
              <w:ind w:firstLine="480"/>
              <w:rPr>
                <w:color w:val="auto"/>
              </w:rPr>
            </w:pPr>
            <w:r>
              <w:rPr>
                <w:color w:val="auto"/>
              </w:rPr>
              <w:t>综上，项目固废产排情况见表</w:t>
            </w:r>
            <w:r>
              <w:rPr>
                <w:rFonts w:hint="eastAsia"/>
                <w:color w:val="auto"/>
              </w:rPr>
              <w:t>4-13</w:t>
            </w:r>
            <w:r>
              <w:rPr>
                <w:color w:val="auto"/>
              </w:rPr>
              <w:t>。</w:t>
            </w:r>
          </w:p>
          <w:p>
            <w:pPr>
              <w:pStyle w:val="14"/>
              <w:ind w:firstLine="480"/>
              <w:rPr>
                <w:color w:val="auto"/>
              </w:rPr>
            </w:pPr>
          </w:p>
          <w:p>
            <w:pPr>
              <w:pStyle w:val="14"/>
              <w:ind w:firstLine="480"/>
              <w:rPr>
                <w:color w:val="auto"/>
              </w:rPr>
            </w:pPr>
          </w:p>
          <w:p>
            <w:pPr>
              <w:pStyle w:val="14"/>
              <w:ind w:firstLine="480"/>
              <w:rPr>
                <w:color w:val="auto"/>
              </w:rPr>
            </w:pPr>
          </w:p>
          <w:p>
            <w:pPr>
              <w:pStyle w:val="14"/>
              <w:ind w:firstLine="480"/>
              <w:rPr>
                <w:color w:val="auto"/>
              </w:rPr>
            </w:pPr>
          </w:p>
          <w:p>
            <w:pPr>
              <w:pStyle w:val="14"/>
              <w:ind w:firstLine="480"/>
              <w:rPr>
                <w:color w:val="auto"/>
              </w:rPr>
            </w:pPr>
          </w:p>
          <w:p>
            <w:pPr>
              <w:pStyle w:val="14"/>
              <w:ind w:firstLine="480"/>
              <w:rPr>
                <w:color w:val="auto"/>
              </w:rPr>
            </w:pPr>
          </w:p>
          <w:p>
            <w:pPr>
              <w:pStyle w:val="14"/>
              <w:ind w:firstLine="480"/>
              <w:rPr>
                <w:color w:val="auto"/>
              </w:rPr>
            </w:pPr>
          </w:p>
          <w:p>
            <w:pPr>
              <w:snapToGrid w:val="0"/>
              <w:ind w:firstLine="0" w:firstLineChars="0"/>
              <w:jc w:val="center"/>
              <w:rPr>
                <w:color w:val="auto"/>
              </w:rPr>
            </w:pPr>
            <w:r>
              <w:rPr>
                <w:color w:val="auto"/>
              </w:rPr>
              <w:t>表</w:t>
            </w:r>
            <w:r>
              <w:rPr>
                <w:rFonts w:hint="eastAsia"/>
                <w:color w:val="auto"/>
              </w:rPr>
              <w:t>4-13</w:t>
            </w:r>
            <w:r>
              <w:rPr>
                <w:color w:val="auto"/>
              </w:rPr>
              <w:t>项目产生固体废物一览表</w:t>
            </w:r>
          </w:p>
          <w:tbl>
            <w:tblPr>
              <w:tblStyle w:val="31"/>
              <w:tblW w:w="4996"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505"/>
              <w:gridCol w:w="1536"/>
              <w:gridCol w:w="903"/>
              <w:gridCol w:w="895"/>
              <w:gridCol w:w="1437"/>
              <w:gridCol w:w="951"/>
              <w:gridCol w:w="169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6" w:hRule="atLeast"/>
              </w:trPr>
              <w:tc>
                <w:tcPr>
                  <w:tcW w:w="344" w:type="pct"/>
                  <w:tcBorders>
                    <w:top w:val="single" w:color="000000" w:sz="4" w:space="0"/>
                    <w:left w:val="single" w:color="auto" w:sz="0" w:space="0"/>
                  </w:tcBorders>
                  <w:vAlign w:val="center"/>
                </w:tcPr>
                <w:p>
                  <w:pPr>
                    <w:pStyle w:val="83"/>
                    <w:spacing w:line="240" w:lineRule="auto"/>
                    <w:ind w:firstLine="0" w:firstLineChars="0"/>
                    <w:jc w:val="center"/>
                    <w:rPr>
                      <w:rFonts w:hint="eastAsia"/>
                      <w:color w:val="auto"/>
                      <w:sz w:val="21"/>
                      <w:szCs w:val="21"/>
                    </w:rPr>
                  </w:pPr>
                  <w:r>
                    <w:rPr>
                      <w:color w:val="auto"/>
                      <w:sz w:val="21"/>
                      <w:szCs w:val="21"/>
                    </w:rPr>
                    <w:t>序号</w:t>
                  </w:r>
                </w:p>
              </w:tc>
              <w:tc>
                <w:tcPr>
                  <w:tcW w:w="994" w:type="pct"/>
                  <w:tcBorders>
                    <w:top w:val="single" w:color="000000" w:sz="4" w:space="0"/>
                  </w:tcBorders>
                  <w:vAlign w:val="center"/>
                </w:tcPr>
                <w:p>
                  <w:pPr>
                    <w:pStyle w:val="83"/>
                    <w:spacing w:line="240" w:lineRule="auto"/>
                    <w:ind w:firstLine="0" w:firstLineChars="0"/>
                    <w:jc w:val="center"/>
                    <w:rPr>
                      <w:rFonts w:hint="eastAsia"/>
                      <w:color w:val="auto"/>
                      <w:sz w:val="21"/>
                      <w:szCs w:val="21"/>
                    </w:rPr>
                  </w:pPr>
                  <w:r>
                    <w:rPr>
                      <w:color w:val="auto"/>
                      <w:sz w:val="21"/>
                      <w:szCs w:val="21"/>
                    </w:rPr>
                    <w:t>固体种类</w:t>
                  </w:r>
                </w:p>
              </w:tc>
              <w:tc>
                <w:tcPr>
                  <w:tcW w:w="595" w:type="pct"/>
                  <w:tcBorders>
                    <w:top w:val="single" w:color="000000" w:sz="4" w:space="0"/>
                  </w:tcBorders>
                  <w:vAlign w:val="center"/>
                </w:tcPr>
                <w:p>
                  <w:pPr>
                    <w:pStyle w:val="83"/>
                    <w:spacing w:line="240" w:lineRule="auto"/>
                    <w:ind w:firstLine="0" w:firstLineChars="0"/>
                    <w:jc w:val="center"/>
                    <w:rPr>
                      <w:rFonts w:hint="eastAsia"/>
                      <w:color w:val="auto"/>
                      <w:sz w:val="21"/>
                      <w:szCs w:val="21"/>
                    </w:rPr>
                  </w:pPr>
                  <w:r>
                    <w:rPr>
                      <w:color w:val="auto"/>
                      <w:sz w:val="21"/>
                      <w:szCs w:val="21"/>
                    </w:rPr>
                    <w:t>固废属性</w:t>
                  </w:r>
                </w:p>
              </w:tc>
              <w:tc>
                <w:tcPr>
                  <w:tcW w:w="590" w:type="pct"/>
                  <w:tcBorders>
                    <w:top w:val="single" w:color="000000" w:sz="4" w:space="0"/>
                  </w:tcBorders>
                  <w:vAlign w:val="center"/>
                </w:tcPr>
                <w:p>
                  <w:pPr>
                    <w:pStyle w:val="83"/>
                    <w:spacing w:line="240" w:lineRule="auto"/>
                    <w:ind w:firstLine="0" w:firstLineChars="0"/>
                    <w:jc w:val="center"/>
                    <w:rPr>
                      <w:rFonts w:hint="eastAsia"/>
                      <w:color w:val="auto"/>
                      <w:sz w:val="21"/>
                      <w:szCs w:val="21"/>
                    </w:rPr>
                  </w:pPr>
                  <w:r>
                    <w:rPr>
                      <w:color w:val="auto"/>
                      <w:sz w:val="21"/>
                      <w:szCs w:val="21"/>
                    </w:rPr>
                    <w:t>危废类别</w:t>
                  </w:r>
                </w:p>
              </w:tc>
              <w:tc>
                <w:tcPr>
                  <w:tcW w:w="751" w:type="pct"/>
                  <w:tcBorders>
                    <w:top w:val="single" w:color="000000" w:sz="4" w:space="0"/>
                  </w:tcBorders>
                  <w:vAlign w:val="center"/>
                </w:tcPr>
                <w:p>
                  <w:pPr>
                    <w:pStyle w:val="83"/>
                    <w:spacing w:line="240" w:lineRule="auto"/>
                    <w:ind w:firstLine="0" w:firstLineChars="0"/>
                    <w:jc w:val="center"/>
                    <w:rPr>
                      <w:rFonts w:hint="eastAsia"/>
                      <w:color w:val="auto"/>
                      <w:sz w:val="21"/>
                      <w:szCs w:val="21"/>
                    </w:rPr>
                  </w:pPr>
                  <w:r>
                    <w:rPr>
                      <w:rFonts w:hint="eastAsia"/>
                      <w:color w:val="auto"/>
                      <w:sz w:val="21"/>
                      <w:szCs w:val="21"/>
                    </w:rPr>
                    <w:t>类别</w:t>
                  </w:r>
                  <w:r>
                    <w:rPr>
                      <w:color w:val="auto"/>
                      <w:sz w:val="21"/>
                      <w:szCs w:val="21"/>
                    </w:rPr>
                    <w:t>代码</w:t>
                  </w:r>
                </w:p>
              </w:tc>
              <w:tc>
                <w:tcPr>
                  <w:tcW w:w="625" w:type="pct"/>
                  <w:tcBorders>
                    <w:top w:val="single" w:color="000000" w:sz="4" w:space="0"/>
                  </w:tcBorders>
                  <w:vAlign w:val="center"/>
                </w:tcPr>
                <w:p>
                  <w:pPr>
                    <w:pStyle w:val="83"/>
                    <w:spacing w:line="240" w:lineRule="auto"/>
                    <w:ind w:firstLine="0" w:firstLineChars="0"/>
                    <w:jc w:val="center"/>
                    <w:rPr>
                      <w:rFonts w:hint="eastAsia"/>
                      <w:color w:val="auto"/>
                      <w:sz w:val="21"/>
                      <w:szCs w:val="21"/>
                    </w:rPr>
                  </w:pPr>
                  <w:r>
                    <w:rPr>
                      <w:color w:val="auto"/>
                      <w:sz w:val="21"/>
                      <w:szCs w:val="21"/>
                    </w:rPr>
                    <w:t>产生量</w:t>
                  </w:r>
                </w:p>
                <w:p>
                  <w:pPr>
                    <w:pStyle w:val="83"/>
                    <w:spacing w:line="240" w:lineRule="auto"/>
                    <w:ind w:firstLine="0" w:firstLineChars="0"/>
                    <w:jc w:val="center"/>
                    <w:rPr>
                      <w:rFonts w:hint="eastAsia"/>
                      <w:color w:val="auto"/>
                      <w:sz w:val="21"/>
                      <w:szCs w:val="21"/>
                    </w:rPr>
                  </w:pPr>
                  <w:r>
                    <w:rPr>
                      <w:color w:val="auto"/>
                      <w:sz w:val="21"/>
                      <w:szCs w:val="21"/>
                    </w:rPr>
                    <w:t>（t/a）</w:t>
                  </w:r>
                </w:p>
              </w:tc>
              <w:tc>
                <w:tcPr>
                  <w:tcW w:w="1096" w:type="pct"/>
                  <w:tcBorders>
                    <w:top w:val="single" w:color="000000" w:sz="4" w:space="0"/>
                    <w:right w:val="single" w:color="000000" w:sz="4" w:space="0"/>
                  </w:tcBorders>
                  <w:vAlign w:val="center"/>
                </w:tcPr>
                <w:p>
                  <w:pPr>
                    <w:ind w:firstLine="0" w:firstLineChars="0"/>
                    <w:jc w:val="center"/>
                    <w:rPr>
                      <w:color w:val="auto"/>
                      <w:sz w:val="21"/>
                      <w:szCs w:val="21"/>
                    </w:rPr>
                  </w:pPr>
                  <w:r>
                    <w:rPr>
                      <w:color w:val="auto"/>
                      <w:sz w:val="21"/>
                      <w:szCs w:val="21"/>
                    </w:rPr>
                    <w:t>处置方式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6" w:hRule="atLeast"/>
              </w:trPr>
              <w:tc>
                <w:tcPr>
                  <w:tcW w:w="344" w:type="pct"/>
                  <w:tcBorders>
                    <w:top w:val="single" w:color="000000" w:sz="4" w:space="0"/>
                    <w:left w:val="single" w:color="auto" w:sz="0" w:space="0"/>
                  </w:tcBorders>
                  <w:vAlign w:val="center"/>
                </w:tcPr>
                <w:p>
                  <w:pPr>
                    <w:pStyle w:val="83"/>
                    <w:spacing w:line="240" w:lineRule="auto"/>
                    <w:ind w:firstLine="0" w:firstLineChars="0"/>
                    <w:jc w:val="center"/>
                    <w:rPr>
                      <w:rFonts w:hint="eastAsia"/>
                      <w:color w:val="auto"/>
                      <w:sz w:val="21"/>
                      <w:szCs w:val="21"/>
                    </w:rPr>
                  </w:pPr>
                  <w:r>
                    <w:rPr>
                      <w:rFonts w:hint="eastAsia"/>
                      <w:color w:val="auto"/>
                      <w:sz w:val="21"/>
                      <w:szCs w:val="21"/>
                    </w:rPr>
                    <w:t>1</w:t>
                  </w:r>
                </w:p>
              </w:tc>
              <w:tc>
                <w:tcPr>
                  <w:tcW w:w="994" w:type="pct"/>
                  <w:tcBorders>
                    <w:top w:val="single" w:color="000000" w:sz="4" w:space="0"/>
                  </w:tcBorders>
                  <w:vAlign w:val="center"/>
                </w:tcPr>
                <w:p>
                  <w:pPr>
                    <w:pStyle w:val="83"/>
                    <w:spacing w:line="240" w:lineRule="auto"/>
                    <w:ind w:firstLine="0" w:firstLineChars="0"/>
                    <w:jc w:val="center"/>
                    <w:rPr>
                      <w:rFonts w:hint="eastAsia"/>
                      <w:color w:val="auto"/>
                      <w:sz w:val="21"/>
                      <w:szCs w:val="21"/>
                    </w:rPr>
                  </w:pPr>
                  <w:r>
                    <w:rPr>
                      <w:rFonts w:hint="eastAsia"/>
                      <w:color w:val="auto"/>
                      <w:sz w:val="21"/>
                      <w:szCs w:val="21"/>
                    </w:rPr>
                    <w:t>废弃试验样品</w:t>
                  </w:r>
                </w:p>
              </w:tc>
              <w:tc>
                <w:tcPr>
                  <w:tcW w:w="595" w:type="pct"/>
                  <w:tcBorders>
                    <w:top w:val="single" w:color="000000" w:sz="4" w:space="0"/>
                  </w:tcBorders>
                  <w:vAlign w:val="center"/>
                </w:tcPr>
                <w:p>
                  <w:pPr>
                    <w:pStyle w:val="83"/>
                    <w:spacing w:line="240" w:lineRule="auto"/>
                    <w:ind w:firstLine="0" w:firstLineChars="0"/>
                    <w:jc w:val="center"/>
                    <w:rPr>
                      <w:rFonts w:hint="eastAsia"/>
                      <w:color w:val="auto"/>
                      <w:sz w:val="21"/>
                      <w:szCs w:val="21"/>
                    </w:rPr>
                  </w:pPr>
                  <w:r>
                    <w:rPr>
                      <w:color w:val="auto"/>
                      <w:sz w:val="21"/>
                      <w:szCs w:val="21"/>
                    </w:rPr>
                    <w:t>一般固废</w:t>
                  </w:r>
                </w:p>
              </w:tc>
              <w:tc>
                <w:tcPr>
                  <w:tcW w:w="590" w:type="pct"/>
                  <w:tcBorders>
                    <w:top w:val="single" w:color="000000" w:sz="4" w:space="0"/>
                  </w:tcBorders>
                  <w:vAlign w:val="center"/>
                </w:tcPr>
                <w:p>
                  <w:pPr>
                    <w:pStyle w:val="83"/>
                    <w:spacing w:line="240" w:lineRule="auto"/>
                    <w:ind w:firstLine="0" w:firstLineChars="0"/>
                    <w:jc w:val="center"/>
                    <w:rPr>
                      <w:rFonts w:hint="eastAsia"/>
                      <w:color w:val="auto"/>
                      <w:sz w:val="21"/>
                      <w:szCs w:val="21"/>
                    </w:rPr>
                  </w:pPr>
                </w:p>
              </w:tc>
              <w:tc>
                <w:tcPr>
                  <w:tcW w:w="751" w:type="pct"/>
                  <w:tcBorders>
                    <w:top w:val="single" w:color="000000" w:sz="4" w:space="0"/>
                  </w:tcBorders>
                  <w:vAlign w:val="center"/>
                </w:tcPr>
                <w:p>
                  <w:pPr>
                    <w:pStyle w:val="83"/>
                    <w:spacing w:line="240" w:lineRule="auto"/>
                    <w:ind w:firstLine="0" w:firstLineChars="0"/>
                    <w:jc w:val="center"/>
                    <w:rPr>
                      <w:rFonts w:hint="eastAsia"/>
                      <w:color w:val="auto"/>
                      <w:sz w:val="21"/>
                      <w:szCs w:val="21"/>
                    </w:rPr>
                  </w:pPr>
                  <w:r>
                    <w:rPr>
                      <w:rFonts w:hint="eastAsia"/>
                      <w:color w:val="auto"/>
                      <w:sz w:val="21"/>
                      <w:szCs w:val="21"/>
                    </w:rPr>
                    <w:t>900-001-S92</w:t>
                  </w:r>
                </w:p>
              </w:tc>
              <w:tc>
                <w:tcPr>
                  <w:tcW w:w="625" w:type="pct"/>
                  <w:tcBorders>
                    <w:top w:val="single" w:color="000000" w:sz="4" w:space="0"/>
                  </w:tcBorders>
                  <w:vAlign w:val="center"/>
                </w:tcPr>
                <w:p>
                  <w:pPr>
                    <w:pStyle w:val="83"/>
                    <w:spacing w:line="240" w:lineRule="auto"/>
                    <w:ind w:firstLine="0" w:firstLineChars="0"/>
                    <w:jc w:val="center"/>
                    <w:rPr>
                      <w:rFonts w:hint="eastAsia"/>
                      <w:color w:val="auto"/>
                      <w:sz w:val="21"/>
                      <w:szCs w:val="21"/>
                    </w:rPr>
                  </w:pPr>
                </w:p>
              </w:tc>
              <w:tc>
                <w:tcPr>
                  <w:tcW w:w="1096" w:type="pct"/>
                  <w:tcBorders>
                    <w:top w:val="single" w:color="000000" w:sz="4" w:space="0"/>
                    <w:right w:val="single" w:color="000000" w:sz="4" w:space="0"/>
                  </w:tcBorders>
                  <w:vAlign w:val="center"/>
                </w:tcPr>
                <w:p>
                  <w:pPr>
                    <w:ind w:firstLine="0" w:firstLineChars="0"/>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7" w:hRule="atLeast"/>
              </w:trPr>
              <w:tc>
                <w:tcPr>
                  <w:tcW w:w="344" w:type="pct"/>
                  <w:tcBorders>
                    <w:left w:val="single" w:color="000000" w:sz="4" w:space="0"/>
                  </w:tcBorders>
                  <w:vAlign w:val="center"/>
                </w:tcPr>
                <w:p>
                  <w:pPr>
                    <w:pStyle w:val="83"/>
                    <w:spacing w:line="240" w:lineRule="auto"/>
                    <w:ind w:firstLine="0" w:firstLineChars="0"/>
                    <w:jc w:val="center"/>
                    <w:rPr>
                      <w:rFonts w:hint="eastAsia"/>
                      <w:color w:val="auto"/>
                      <w:sz w:val="21"/>
                      <w:szCs w:val="21"/>
                    </w:rPr>
                  </w:pPr>
                  <w:r>
                    <w:rPr>
                      <w:color w:val="auto"/>
                      <w:sz w:val="21"/>
                      <w:szCs w:val="21"/>
                    </w:rPr>
                    <w:t>2</w:t>
                  </w:r>
                </w:p>
              </w:tc>
              <w:tc>
                <w:tcPr>
                  <w:tcW w:w="994" w:type="pct"/>
                  <w:vAlign w:val="center"/>
                </w:tcPr>
                <w:p>
                  <w:pPr>
                    <w:snapToGrid w:val="0"/>
                    <w:ind w:firstLine="0" w:firstLineChars="0"/>
                    <w:jc w:val="center"/>
                    <w:rPr>
                      <w:color w:val="auto"/>
                      <w:sz w:val="21"/>
                      <w:szCs w:val="21"/>
                    </w:rPr>
                  </w:pPr>
                  <w:r>
                    <w:rPr>
                      <w:rFonts w:hint="eastAsia"/>
                      <w:color w:val="auto"/>
                      <w:sz w:val="21"/>
                      <w:szCs w:val="21"/>
                    </w:rPr>
                    <w:t>污泥</w:t>
                  </w:r>
                </w:p>
              </w:tc>
              <w:tc>
                <w:tcPr>
                  <w:tcW w:w="595" w:type="pct"/>
                  <w:vAlign w:val="center"/>
                </w:tcPr>
                <w:p>
                  <w:pPr>
                    <w:ind w:firstLine="0" w:firstLineChars="0"/>
                    <w:jc w:val="center"/>
                    <w:rPr>
                      <w:color w:val="auto"/>
                      <w:sz w:val="21"/>
                      <w:szCs w:val="21"/>
                    </w:rPr>
                  </w:pPr>
                  <w:r>
                    <w:rPr>
                      <w:color w:val="auto"/>
                      <w:sz w:val="21"/>
                      <w:szCs w:val="21"/>
                    </w:rPr>
                    <w:t>一般固废</w:t>
                  </w:r>
                </w:p>
              </w:tc>
              <w:tc>
                <w:tcPr>
                  <w:tcW w:w="590" w:type="pct"/>
                  <w:vAlign w:val="center"/>
                </w:tcPr>
                <w:p>
                  <w:pPr>
                    <w:ind w:firstLine="0" w:firstLineChars="0"/>
                    <w:jc w:val="center"/>
                    <w:rPr>
                      <w:color w:val="auto"/>
                      <w:sz w:val="21"/>
                      <w:szCs w:val="21"/>
                    </w:rPr>
                  </w:pPr>
                  <w:r>
                    <w:rPr>
                      <w:color w:val="auto"/>
                      <w:sz w:val="21"/>
                      <w:szCs w:val="21"/>
                    </w:rPr>
                    <w:t>/</w:t>
                  </w:r>
                </w:p>
              </w:tc>
              <w:tc>
                <w:tcPr>
                  <w:tcW w:w="751" w:type="pct"/>
                  <w:vAlign w:val="center"/>
                </w:tcPr>
                <w:p>
                  <w:pPr>
                    <w:ind w:firstLine="0" w:firstLineChars="0"/>
                    <w:jc w:val="center"/>
                    <w:rPr>
                      <w:color w:val="auto"/>
                      <w:sz w:val="21"/>
                      <w:szCs w:val="21"/>
                    </w:rPr>
                  </w:pPr>
                </w:p>
              </w:tc>
              <w:tc>
                <w:tcPr>
                  <w:tcW w:w="625" w:type="pct"/>
                  <w:vAlign w:val="center"/>
                </w:tcPr>
                <w:p>
                  <w:pPr>
                    <w:ind w:firstLine="0" w:firstLineChars="0"/>
                    <w:jc w:val="center"/>
                    <w:rPr>
                      <w:color w:val="auto"/>
                      <w:sz w:val="21"/>
                      <w:szCs w:val="21"/>
                    </w:rPr>
                  </w:pPr>
                  <w:r>
                    <w:rPr>
                      <w:rFonts w:hint="eastAsia"/>
                      <w:color w:val="auto"/>
                      <w:sz w:val="21"/>
                      <w:szCs w:val="21"/>
                    </w:rPr>
                    <w:t>2</w:t>
                  </w:r>
                </w:p>
              </w:tc>
              <w:tc>
                <w:tcPr>
                  <w:tcW w:w="1096" w:type="pct"/>
                  <w:tcBorders>
                    <w:right w:val="single" w:color="000000" w:sz="4" w:space="0"/>
                  </w:tcBorders>
                  <w:vAlign w:val="center"/>
                </w:tcPr>
                <w:p>
                  <w:pPr>
                    <w:ind w:firstLine="0" w:firstLineChars="0"/>
                    <w:jc w:val="center"/>
                    <w:rPr>
                      <w:color w:val="auto"/>
                      <w:sz w:val="21"/>
                      <w:szCs w:val="21"/>
                    </w:rPr>
                  </w:pPr>
                  <w:r>
                    <w:rPr>
                      <w:rFonts w:hint="eastAsia"/>
                      <w:color w:val="auto"/>
                      <w:sz w:val="21"/>
                      <w:szCs w:val="21"/>
                    </w:rPr>
                    <w:t>收集后运至城建部门指定地点处置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44" w:type="pct"/>
                  <w:tcBorders>
                    <w:left w:val="single" w:color="000000" w:sz="4" w:space="0"/>
                  </w:tcBorders>
                  <w:vAlign w:val="center"/>
                </w:tcPr>
                <w:p>
                  <w:pPr>
                    <w:pStyle w:val="83"/>
                    <w:spacing w:line="240" w:lineRule="auto"/>
                    <w:ind w:firstLine="0" w:firstLineChars="0"/>
                    <w:jc w:val="center"/>
                    <w:rPr>
                      <w:rFonts w:hint="eastAsia"/>
                      <w:color w:val="auto"/>
                      <w:sz w:val="21"/>
                      <w:szCs w:val="21"/>
                    </w:rPr>
                  </w:pPr>
                  <w:r>
                    <w:rPr>
                      <w:color w:val="auto"/>
                      <w:sz w:val="21"/>
                      <w:szCs w:val="21"/>
                    </w:rPr>
                    <w:t>3</w:t>
                  </w:r>
                </w:p>
              </w:tc>
              <w:tc>
                <w:tcPr>
                  <w:tcW w:w="994" w:type="pct"/>
                  <w:vAlign w:val="center"/>
                </w:tcPr>
                <w:p>
                  <w:pPr>
                    <w:snapToGrid w:val="0"/>
                    <w:ind w:firstLine="0" w:firstLineChars="0"/>
                    <w:jc w:val="center"/>
                    <w:rPr>
                      <w:color w:val="auto"/>
                      <w:sz w:val="21"/>
                      <w:szCs w:val="21"/>
                    </w:rPr>
                  </w:pPr>
                  <w:r>
                    <w:rPr>
                      <w:color w:val="auto"/>
                      <w:sz w:val="21"/>
                      <w:szCs w:val="21"/>
                    </w:rPr>
                    <w:t>生活垃圾</w:t>
                  </w:r>
                </w:p>
              </w:tc>
              <w:tc>
                <w:tcPr>
                  <w:tcW w:w="595" w:type="pct"/>
                  <w:vAlign w:val="center"/>
                </w:tcPr>
                <w:p>
                  <w:pPr>
                    <w:ind w:firstLine="0" w:firstLineChars="0"/>
                    <w:jc w:val="center"/>
                    <w:rPr>
                      <w:color w:val="auto"/>
                      <w:sz w:val="21"/>
                      <w:szCs w:val="21"/>
                    </w:rPr>
                  </w:pPr>
                  <w:r>
                    <w:rPr>
                      <w:color w:val="auto"/>
                      <w:sz w:val="21"/>
                      <w:szCs w:val="21"/>
                    </w:rPr>
                    <w:t>生活垃圾</w:t>
                  </w:r>
                </w:p>
              </w:tc>
              <w:tc>
                <w:tcPr>
                  <w:tcW w:w="590" w:type="pct"/>
                  <w:vAlign w:val="center"/>
                </w:tcPr>
                <w:p>
                  <w:pPr>
                    <w:ind w:firstLine="0" w:firstLineChars="0"/>
                    <w:jc w:val="center"/>
                    <w:rPr>
                      <w:color w:val="auto"/>
                      <w:sz w:val="21"/>
                      <w:szCs w:val="21"/>
                    </w:rPr>
                  </w:pPr>
                  <w:r>
                    <w:rPr>
                      <w:color w:val="auto"/>
                      <w:sz w:val="21"/>
                      <w:szCs w:val="21"/>
                    </w:rPr>
                    <w:t>/</w:t>
                  </w:r>
                </w:p>
              </w:tc>
              <w:tc>
                <w:tcPr>
                  <w:tcW w:w="751" w:type="pct"/>
                  <w:vAlign w:val="center"/>
                </w:tcPr>
                <w:p>
                  <w:pPr>
                    <w:ind w:firstLine="0" w:firstLineChars="0"/>
                    <w:jc w:val="center"/>
                    <w:rPr>
                      <w:color w:val="auto"/>
                      <w:sz w:val="21"/>
                      <w:szCs w:val="21"/>
                    </w:rPr>
                  </w:pPr>
                </w:p>
              </w:tc>
              <w:tc>
                <w:tcPr>
                  <w:tcW w:w="625" w:type="pct"/>
                  <w:vAlign w:val="center"/>
                </w:tcPr>
                <w:p>
                  <w:pPr>
                    <w:ind w:firstLine="0" w:firstLineChars="0"/>
                    <w:jc w:val="center"/>
                    <w:rPr>
                      <w:color w:val="auto"/>
                      <w:sz w:val="21"/>
                      <w:szCs w:val="21"/>
                    </w:rPr>
                  </w:pPr>
                  <w:r>
                    <w:rPr>
                      <w:rFonts w:hint="eastAsia"/>
                      <w:color w:val="auto"/>
                      <w:sz w:val="21"/>
                      <w:szCs w:val="21"/>
                    </w:rPr>
                    <w:t>72</w:t>
                  </w:r>
                </w:p>
              </w:tc>
              <w:tc>
                <w:tcPr>
                  <w:tcW w:w="1096" w:type="pct"/>
                  <w:tcBorders>
                    <w:right w:val="single" w:color="000000" w:sz="4" w:space="0"/>
                  </w:tcBorders>
                  <w:vAlign w:val="center"/>
                </w:tcPr>
                <w:p>
                  <w:pPr>
                    <w:ind w:firstLine="0" w:firstLineChars="0"/>
                    <w:jc w:val="center"/>
                    <w:rPr>
                      <w:color w:val="auto"/>
                      <w:sz w:val="21"/>
                      <w:szCs w:val="21"/>
                    </w:rPr>
                  </w:pPr>
                  <w:r>
                    <w:rPr>
                      <w:color w:val="auto"/>
                      <w:sz w:val="21"/>
                      <w:szCs w:val="21"/>
                    </w:rPr>
                    <w:t>交由环卫部门处理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44" w:type="pct"/>
                  <w:tcBorders>
                    <w:left w:val="single" w:color="000000" w:sz="4" w:space="0"/>
                  </w:tcBorders>
                  <w:vAlign w:val="center"/>
                </w:tcPr>
                <w:p>
                  <w:pPr>
                    <w:pStyle w:val="83"/>
                    <w:spacing w:line="240" w:lineRule="auto"/>
                    <w:ind w:firstLine="0" w:firstLineChars="0"/>
                    <w:jc w:val="center"/>
                    <w:rPr>
                      <w:rFonts w:hint="eastAsia"/>
                      <w:color w:val="auto"/>
                      <w:sz w:val="21"/>
                      <w:szCs w:val="21"/>
                    </w:rPr>
                  </w:pPr>
                  <w:r>
                    <w:rPr>
                      <w:rFonts w:hint="eastAsia"/>
                      <w:color w:val="auto"/>
                      <w:sz w:val="21"/>
                      <w:szCs w:val="21"/>
                    </w:rPr>
                    <w:t>4</w:t>
                  </w:r>
                </w:p>
              </w:tc>
              <w:tc>
                <w:tcPr>
                  <w:tcW w:w="994" w:type="pct"/>
                  <w:vAlign w:val="center"/>
                </w:tcPr>
                <w:p>
                  <w:pPr>
                    <w:snapToGrid w:val="0"/>
                    <w:ind w:firstLine="0" w:firstLineChars="0"/>
                    <w:jc w:val="center"/>
                    <w:rPr>
                      <w:color w:val="auto"/>
                      <w:sz w:val="21"/>
                      <w:szCs w:val="21"/>
                    </w:rPr>
                  </w:pPr>
                  <w:r>
                    <w:rPr>
                      <w:rFonts w:hint="eastAsia"/>
                      <w:color w:val="auto"/>
                      <w:sz w:val="21"/>
                      <w:szCs w:val="21"/>
                    </w:rPr>
                    <w:t>除尘器灰</w:t>
                  </w:r>
                </w:p>
              </w:tc>
              <w:tc>
                <w:tcPr>
                  <w:tcW w:w="595" w:type="pct"/>
                  <w:vAlign w:val="center"/>
                </w:tcPr>
                <w:p>
                  <w:pPr>
                    <w:ind w:firstLine="0" w:firstLineChars="0"/>
                    <w:jc w:val="center"/>
                    <w:rPr>
                      <w:color w:val="auto"/>
                      <w:sz w:val="21"/>
                      <w:szCs w:val="21"/>
                    </w:rPr>
                  </w:pPr>
                  <w:r>
                    <w:rPr>
                      <w:color w:val="auto"/>
                      <w:sz w:val="21"/>
                      <w:szCs w:val="21"/>
                    </w:rPr>
                    <w:t>一般固废</w:t>
                  </w:r>
                </w:p>
              </w:tc>
              <w:tc>
                <w:tcPr>
                  <w:tcW w:w="590" w:type="pct"/>
                  <w:vAlign w:val="center"/>
                </w:tcPr>
                <w:p>
                  <w:pPr>
                    <w:ind w:firstLine="0" w:firstLineChars="0"/>
                    <w:jc w:val="center"/>
                    <w:rPr>
                      <w:color w:val="auto"/>
                      <w:sz w:val="21"/>
                      <w:szCs w:val="21"/>
                    </w:rPr>
                  </w:pPr>
                  <w:r>
                    <w:rPr>
                      <w:color w:val="auto"/>
                      <w:sz w:val="21"/>
                      <w:szCs w:val="21"/>
                    </w:rPr>
                    <w:t>/</w:t>
                  </w:r>
                </w:p>
              </w:tc>
              <w:tc>
                <w:tcPr>
                  <w:tcW w:w="751" w:type="pct"/>
                  <w:vAlign w:val="center"/>
                </w:tcPr>
                <w:p>
                  <w:pPr>
                    <w:ind w:firstLine="0" w:firstLineChars="0"/>
                    <w:jc w:val="center"/>
                    <w:rPr>
                      <w:color w:val="auto"/>
                      <w:sz w:val="21"/>
                      <w:szCs w:val="21"/>
                    </w:rPr>
                  </w:pPr>
                </w:p>
              </w:tc>
              <w:tc>
                <w:tcPr>
                  <w:tcW w:w="625" w:type="pct"/>
                  <w:vAlign w:val="center"/>
                </w:tcPr>
                <w:p>
                  <w:pPr>
                    <w:ind w:firstLine="0" w:firstLineChars="0"/>
                    <w:jc w:val="center"/>
                    <w:rPr>
                      <w:color w:val="auto"/>
                      <w:sz w:val="21"/>
                      <w:szCs w:val="21"/>
                    </w:rPr>
                  </w:pPr>
                  <w:r>
                    <w:rPr>
                      <w:rFonts w:hint="eastAsia"/>
                      <w:color w:val="auto"/>
                      <w:sz w:val="21"/>
                      <w:szCs w:val="21"/>
                    </w:rPr>
                    <w:t>42.66</w:t>
                  </w:r>
                </w:p>
              </w:tc>
              <w:tc>
                <w:tcPr>
                  <w:tcW w:w="1096" w:type="pct"/>
                  <w:tcBorders>
                    <w:right w:val="single" w:color="000000" w:sz="4" w:space="0"/>
                  </w:tcBorders>
                  <w:vAlign w:val="center"/>
                </w:tcPr>
                <w:p>
                  <w:pPr>
                    <w:ind w:firstLine="0" w:firstLineChars="0"/>
                    <w:jc w:val="center"/>
                    <w:rPr>
                      <w:color w:val="auto"/>
                      <w:sz w:val="21"/>
                      <w:szCs w:val="21"/>
                    </w:rPr>
                  </w:pPr>
                  <w:r>
                    <w:rPr>
                      <w:rFonts w:hint="eastAsia"/>
                      <w:color w:val="auto"/>
                      <w:sz w:val="21"/>
                      <w:szCs w:val="21"/>
                    </w:rPr>
                    <w:t>作为原料回用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7" w:hRule="atLeast"/>
              </w:trPr>
              <w:tc>
                <w:tcPr>
                  <w:tcW w:w="344" w:type="pct"/>
                  <w:tcBorders>
                    <w:left w:val="single" w:color="000000" w:sz="4" w:space="0"/>
                  </w:tcBorders>
                  <w:vAlign w:val="center"/>
                </w:tcPr>
                <w:p>
                  <w:pPr>
                    <w:pStyle w:val="83"/>
                    <w:spacing w:line="240" w:lineRule="auto"/>
                    <w:ind w:firstLine="0" w:firstLineChars="0"/>
                    <w:jc w:val="center"/>
                    <w:rPr>
                      <w:rFonts w:hint="eastAsia"/>
                      <w:color w:val="auto"/>
                      <w:sz w:val="21"/>
                      <w:szCs w:val="21"/>
                    </w:rPr>
                  </w:pPr>
                  <w:r>
                    <w:rPr>
                      <w:rFonts w:hint="eastAsia"/>
                      <w:color w:val="auto"/>
                      <w:sz w:val="21"/>
                      <w:szCs w:val="21"/>
                    </w:rPr>
                    <w:t>4</w:t>
                  </w:r>
                </w:p>
              </w:tc>
              <w:tc>
                <w:tcPr>
                  <w:tcW w:w="994" w:type="pct"/>
                  <w:vAlign w:val="center"/>
                </w:tcPr>
                <w:p>
                  <w:pPr>
                    <w:snapToGrid w:val="0"/>
                    <w:ind w:firstLine="0" w:firstLineChars="0"/>
                    <w:jc w:val="center"/>
                    <w:rPr>
                      <w:color w:val="auto"/>
                      <w:sz w:val="21"/>
                      <w:szCs w:val="21"/>
                    </w:rPr>
                  </w:pPr>
                  <w:r>
                    <w:rPr>
                      <w:color w:val="auto"/>
                      <w:sz w:val="21"/>
                      <w:szCs w:val="21"/>
                    </w:rPr>
                    <w:t>废活性炭</w:t>
                  </w:r>
                </w:p>
              </w:tc>
              <w:tc>
                <w:tcPr>
                  <w:tcW w:w="595" w:type="pct"/>
                  <w:vAlign w:val="center"/>
                </w:tcPr>
                <w:p>
                  <w:pPr>
                    <w:ind w:firstLine="0" w:firstLineChars="0"/>
                    <w:jc w:val="center"/>
                    <w:rPr>
                      <w:color w:val="auto"/>
                      <w:sz w:val="21"/>
                      <w:szCs w:val="21"/>
                    </w:rPr>
                  </w:pPr>
                  <w:r>
                    <w:rPr>
                      <w:color w:val="auto"/>
                      <w:sz w:val="21"/>
                      <w:szCs w:val="21"/>
                    </w:rPr>
                    <w:t>危险固废</w:t>
                  </w:r>
                </w:p>
              </w:tc>
              <w:tc>
                <w:tcPr>
                  <w:tcW w:w="590" w:type="pct"/>
                  <w:vAlign w:val="center"/>
                </w:tcPr>
                <w:p>
                  <w:pPr>
                    <w:ind w:firstLine="0" w:firstLineChars="0"/>
                    <w:jc w:val="center"/>
                    <w:rPr>
                      <w:color w:val="auto"/>
                      <w:sz w:val="21"/>
                      <w:szCs w:val="21"/>
                    </w:rPr>
                  </w:pPr>
                  <w:r>
                    <w:rPr>
                      <w:color w:val="auto"/>
                      <w:sz w:val="21"/>
                      <w:szCs w:val="21"/>
                    </w:rPr>
                    <w:t>HW49</w:t>
                  </w:r>
                </w:p>
              </w:tc>
              <w:tc>
                <w:tcPr>
                  <w:tcW w:w="751" w:type="pct"/>
                  <w:vAlign w:val="center"/>
                </w:tcPr>
                <w:p>
                  <w:pPr>
                    <w:ind w:firstLine="0" w:firstLineChars="0"/>
                    <w:jc w:val="center"/>
                    <w:rPr>
                      <w:color w:val="auto"/>
                      <w:sz w:val="21"/>
                      <w:szCs w:val="21"/>
                    </w:rPr>
                  </w:pPr>
                  <w:r>
                    <w:rPr>
                      <w:color w:val="auto"/>
                      <w:sz w:val="21"/>
                      <w:szCs w:val="21"/>
                    </w:rPr>
                    <w:t>900-039-49</w:t>
                  </w:r>
                </w:p>
              </w:tc>
              <w:tc>
                <w:tcPr>
                  <w:tcW w:w="625" w:type="pct"/>
                  <w:vAlign w:val="center"/>
                </w:tcPr>
                <w:p>
                  <w:pPr>
                    <w:ind w:firstLine="0" w:firstLineChars="0"/>
                    <w:jc w:val="center"/>
                    <w:rPr>
                      <w:color w:val="auto"/>
                      <w:sz w:val="21"/>
                      <w:szCs w:val="21"/>
                    </w:rPr>
                  </w:pPr>
                  <w:r>
                    <w:rPr>
                      <w:rFonts w:hint="eastAsia"/>
                      <w:color w:val="auto"/>
                      <w:sz w:val="21"/>
                      <w:szCs w:val="21"/>
                    </w:rPr>
                    <w:t>0.6</w:t>
                  </w:r>
                </w:p>
              </w:tc>
              <w:tc>
                <w:tcPr>
                  <w:tcW w:w="1096" w:type="pct"/>
                  <w:tcBorders>
                    <w:right w:val="single" w:color="000000" w:sz="4" w:space="0"/>
                  </w:tcBorders>
                  <w:vAlign w:val="center"/>
                </w:tcPr>
                <w:p>
                  <w:pPr>
                    <w:ind w:firstLine="0" w:firstLineChars="0"/>
                    <w:jc w:val="center"/>
                    <w:rPr>
                      <w:color w:val="auto"/>
                      <w:sz w:val="21"/>
                      <w:szCs w:val="21"/>
                    </w:rPr>
                  </w:pPr>
                  <w:r>
                    <w:rPr>
                      <w:rFonts w:hint="eastAsia"/>
                      <w:color w:val="auto"/>
                      <w:sz w:val="21"/>
                      <w:szCs w:val="21"/>
                    </w:rPr>
                    <w:t>暂存于危废暂存间，委托资质单位处理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344" w:type="pct"/>
                  <w:tcBorders>
                    <w:left w:val="single" w:color="000000" w:sz="4" w:space="0"/>
                  </w:tcBorders>
                  <w:vAlign w:val="center"/>
                </w:tcPr>
                <w:p>
                  <w:pPr>
                    <w:pStyle w:val="83"/>
                    <w:spacing w:line="240" w:lineRule="auto"/>
                    <w:ind w:firstLine="0" w:firstLineChars="0"/>
                    <w:jc w:val="center"/>
                    <w:rPr>
                      <w:rFonts w:hint="eastAsia"/>
                      <w:color w:val="auto"/>
                      <w:sz w:val="21"/>
                      <w:szCs w:val="21"/>
                    </w:rPr>
                  </w:pPr>
                  <w:r>
                    <w:rPr>
                      <w:rFonts w:hint="eastAsia"/>
                      <w:color w:val="auto"/>
                      <w:sz w:val="21"/>
                      <w:szCs w:val="21"/>
                    </w:rPr>
                    <w:t>5</w:t>
                  </w:r>
                </w:p>
              </w:tc>
              <w:tc>
                <w:tcPr>
                  <w:tcW w:w="994" w:type="pct"/>
                  <w:vAlign w:val="center"/>
                </w:tcPr>
                <w:p>
                  <w:pPr>
                    <w:snapToGrid w:val="0"/>
                    <w:ind w:firstLine="0" w:firstLineChars="0"/>
                    <w:jc w:val="center"/>
                    <w:rPr>
                      <w:color w:val="auto"/>
                      <w:sz w:val="21"/>
                      <w:szCs w:val="21"/>
                    </w:rPr>
                  </w:pPr>
                  <w:r>
                    <w:rPr>
                      <w:rFonts w:hint="eastAsia"/>
                      <w:color w:val="auto"/>
                      <w:sz w:val="21"/>
                      <w:szCs w:val="21"/>
                    </w:rPr>
                    <w:t>废导热油</w:t>
                  </w:r>
                </w:p>
              </w:tc>
              <w:tc>
                <w:tcPr>
                  <w:tcW w:w="595" w:type="pct"/>
                  <w:vAlign w:val="center"/>
                </w:tcPr>
                <w:p>
                  <w:pPr>
                    <w:ind w:firstLine="0" w:firstLineChars="0"/>
                    <w:jc w:val="center"/>
                    <w:rPr>
                      <w:color w:val="auto"/>
                      <w:sz w:val="21"/>
                      <w:szCs w:val="21"/>
                    </w:rPr>
                  </w:pPr>
                  <w:r>
                    <w:rPr>
                      <w:color w:val="auto"/>
                      <w:sz w:val="21"/>
                      <w:szCs w:val="21"/>
                    </w:rPr>
                    <w:t>危险固废</w:t>
                  </w:r>
                </w:p>
              </w:tc>
              <w:tc>
                <w:tcPr>
                  <w:tcW w:w="590" w:type="pct"/>
                  <w:vAlign w:val="center"/>
                </w:tcPr>
                <w:p>
                  <w:pPr>
                    <w:adjustRightInd w:val="0"/>
                    <w:snapToGrid w:val="0"/>
                    <w:ind w:firstLine="0" w:firstLineChars="0"/>
                    <w:jc w:val="center"/>
                    <w:rPr>
                      <w:color w:val="auto"/>
                      <w:sz w:val="21"/>
                      <w:szCs w:val="21"/>
                    </w:rPr>
                  </w:pPr>
                  <w:r>
                    <w:rPr>
                      <w:color w:val="auto"/>
                      <w:sz w:val="21"/>
                      <w:szCs w:val="21"/>
                    </w:rPr>
                    <w:t>HW08</w:t>
                  </w:r>
                </w:p>
              </w:tc>
              <w:tc>
                <w:tcPr>
                  <w:tcW w:w="751" w:type="pct"/>
                  <w:vAlign w:val="center"/>
                </w:tcPr>
                <w:p>
                  <w:pPr>
                    <w:adjustRightInd w:val="0"/>
                    <w:snapToGrid w:val="0"/>
                    <w:ind w:firstLine="0" w:firstLineChars="0"/>
                    <w:jc w:val="center"/>
                    <w:rPr>
                      <w:color w:val="auto"/>
                      <w:sz w:val="21"/>
                      <w:szCs w:val="21"/>
                    </w:rPr>
                  </w:pPr>
                  <w:r>
                    <w:rPr>
                      <w:color w:val="auto"/>
                      <w:sz w:val="21"/>
                      <w:szCs w:val="21"/>
                    </w:rPr>
                    <w:t>900-249-08</w:t>
                  </w:r>
                </w:p>
              </w:tc>
              <w:tc>
                <w:tcPr>
                  <w:tcW w:w="625" w:type="pct"/>
                  <w:vAlign w:val="center"/>
                </w:tcPr>
                <w:p>
                  <w:pPr>
                    <w:ind w:firstLine="0" w:firstLineChars="0"/>
                    <w:jc w:val="center"/>
                    <w:rPr>
                      <w:color w:val="auto"/>
                      <w:sz w:val="21"/>
                      <w:szCs w:val="21"/>
                    </w:rPr>
                  </w:pPr>
                  <w:r>
                    <w:rPr>
                      <w:rFonts w:hint="eastAsia"/>
                      <w:color w:val="auto"/>
                      <w:sz w:val="21"/>
                      <w:szCs w:val="21"/>
                    </w:rPr>
                    <w:t>17</w:t>
                  </w:r>
                  <w:r>
                    <w:rPr>
                      <w:color w:val="auto"/>
                      <w:sz w:val="21"/>
                      <w:szCs w:val="21"/>
                    </w:rPr>
                    <w:t>t/</w:t>
                  </w:r>
                  <w:r>
                    <w:rPr>
                      <w:rFonts w:hint="eastAsia"/>
                      <w:color w:val="auto"/>
                      <w:sz w:val="21"/>
                      <w:szCs w:val="21"/>
                    </w:rPr>
                    <w:t>5</w:t>
                  </w:r>
                  <w:r>
                    <w:rPr>
                      <w:color w:val="auto"/>
                      <w:sz w:val="21"/>
                      <w:szCs w:val="21"/>
                    </w:rPr>
                    <w:t>a</w:t>
                  </w:r>
                </w:p>
              </w:tc>
              <w:tc>
                <w:tcPr>
                  <w:tcW w:w="1096" w:type="pct"/>
                  <w:tcBorders>
                    <w:right w:val="single" w:color="000000" w:sz="4" w:space="0"/>
                  </w:tcBorders>
                  <w:vAlign w:val="center"/>
                </w:tcPr>
                <w:p>
                  <w:pPr>
                    <w:ind w:firstLine="0" w:firstLineChars="0"/>
                    <w:jc w:val="center"/>
                    <w:rPr>
                      <w:color w:val="auto"/>
                      <w:sz w:val="21"/>
                      <w:szCs w:val="21"/>
                    </w:rPr>
                  </w:pPr>
                  <w:r>
                    <w:rPr>
                      <w:rFonts w:hint="eastAsia"/>
                      <w:color w:val="auto"/>
                      <w:sz w:val="21"/>
                      <w:szCs w:val="21"/>
                    </w:rPr>
                    <w:t>委托资质单位直接运走处理，不在厂区暂存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344" w:type="pct"/>
                  <w:tcBorders>
                    <w:left w:val="single" w:color="000000" w:sz="4" w:space="0"/>
                  </w:tcBorders>
                  <w:vAlign w:val="center"/>
                </w:tcPr>
                <w:p>
                  <w:pPr>
                    <w:pStyle w:val="83"/>
                    <w:spacing w:line="240" w:lineRule="auto"/>
                    <w:ind w:firstLine="0" w:firstLineChars="0"/>
                    <w:jc w:val="center"/>
                    <w:rPr>
                      <w:rFonts w:hint="eastAsia"/>
                      <w:color w:val="auto"/>
                      <w:sz w:val="21"/>
                      <w:szCs w:val="21"/>
                    </w:rPr>
                  </w:pPr>
                  <w:r>
                    <w:rPr>
                      <w:rFonts w:hint="eastAsia"/>
                      <w:color w:val="auto"/>
                      <w:sz w:val="21"/>
                      <w:szCs w:val="21"/>
                    </w:rPr>
                    <w:t>6</w:t>
                  </w:r>
                </w:p>
              </w:tc>
              <w:tc>
                <w:tcPr>
                  <w:tcW w:w="994" w:type="pct"/>
                  <w:vAlign w:val="center"/>
                </w:tcPr>
                <w:p>
                  <w:pPr>
                    <w:snapToGrid w:val="0"/>
                    <w:ind w:firstLine="0" w:firstLineChars="0"/>
                    <w:jc w:val="center"/>
                    <w:rPr>
                      <w:color w:val="auto"/>
                      <w:sz w:val="21"/>
                      <w:szCs w:val="21"/>
                    </w:rPr>
                  </w:pPr>
                  <w:r>
                    <w:rPr>
                      <w:rFonts w:hint="eastAsia"/>
                      <w:color w:val="auto"/>
                      <w:sz w:val="21"/>
                      <w:szCs w:val="21"/>
                    </w:rPr>
                    <w:t>废润滑油</w:t>
                  </w:r>
                </w:p>
              </w:tc>
              <w:tc>
                <w:tcPr>
                  <w:tcW w:w="595" w:type="pct"/>
                  <w:vAlign w:val="center"/>
                </w:tcPr>
                <w:p>
                  <w:pPr>
                    <w:ind w:firstLine="0" w:firstLineChars="0"/>
                    <w:jc w:val="center"/>
                    <w:rPr>
                      <w:color w:val="auto"/>
                      <w:sz w:val="21"/>
                      <w:szCs w:val="21"/>
                    </w:rPr>
                  </w:pPr>
                  <w:r>
                    <w:rPr>
                      <w:color w:val="auto"/>
                      <w:sz w:val="21"/>
                      <w:szCs w:val="21"/>
                    </w:rPr>
                    <w:t>危险固废</w:t>
                  </w:r>
                </w:p>
              </w:tc>
              <w:tc>
                <w:tcPr>
                  <w:tcW w:w="590" w:type="pct"/>
                  <w:vAlign w:val="center"/>
                </w:tcPr>
                <w:p>
                  <w:pPr>
                    <w:adjustRightInd w:val="0"/>
                    <w:snapToGrid w:val="0"/>
                    <w:ind w:firstLine="0" w:firstLineChars="0"/>
                    <w:jc w:val="center"/>
                    <w:rPr>
                      <w:color w:val="auto"/>
                      <w:sz w:val="21"/>
                      <w:szCs w:val="21"/>
                    </w:rPr>
                  </w:pPr>
                  <w:r>
                    <w:rPr>
                      <w:color w:val="auto"/>
                      <w:sz w:val="21"/>
                      <w:szCs w:val="21"/>
                    </w:rPr>
                    <w:t>HW08</w:t>
                  </w:r>
                </w:p>
              </w:tc>
              <w:tc>
                <w:tcPr>
                  <w:tcW w:w="751" w:type="pct"/>
                  <w:vAlign w:val="center"/>
                </w:tcPr>
                <w:p>
                  <w:pPr>
                    <w:adjustRightInd w:val="0"/>
                    <w:snapToGrid w:val="0"/>
                    <w:ind w:firstLine="0" w:firstLineChars="0"/>
                    <w:jc w:val="center"/>
                    <w:rPr>
                      <w:color w:val="auto"/>
                      <w:sz w:val="21"/>
                      <w:szCs w:val="21"/>
                    </w:rPr>
                  </w:pPr>
                  <w:r>
                    <w:rPr>
                      <w:color w:val="auto"/>
                      <w:sz w:val="21"/>
                      <w:szCs w:val="21"/>
                    </w:rPr>
                    <w:t>900-249-08</w:t>
                  </w:r>
                </w:p>
              </w:tc>
              <w:tc>
                <w:tcPr>
                  <w:tcW w:w="625" w:type="pct"/>
                  <w:vAlign w:val="center"/>
                </w:tcPr>
                <w:p>
                  <w:pPr>
                    <w:ind w:firstLine="0" w:firstLineChars="0"/>
                    <w:jc w:val="center"/>
                    <w:rPr>
                      <w:color w:val="auto"/>
                      <w:sz w:val="21"/>
                      <w:szCs w:val="21"/>
                    </w:rPr>
                  </w:pPr>
                  <w:r>
                    <w:rPr>
                      <w:rFonts w:hint="eastAsia"/>
                      <w:color w:val="auto"/>
                      <w:sz w:val="21"/>
                      <w:szCs w:val="21"/>
                    </w:rPr>
                    <w:t>0.3</w:t>
                  </w:r>
                </w:p>
              </w:tc>
              <w:tc>
                <w:tcPr>
                  <w:tcW w:w="1096" w:type="pct"/>
                  <w:tcBorders>
                    <w:right w:val="single" w:color="000000" w:sz="4" w:space="0"/>
                  </w:tcBorders>
                  <w:vAlign w:val="center"/>
                </w:tcPr>
                <w:p>
                  <w:pPr>
                    <w:ind w:firstLine="0" w:firstLineChars="0"/>
                    <w:jc w:val="center"/>
                    <w:rPr>
                      <w:color w:val="auto"/>
                      <w:sz w:val="21"/>
                      <w:szCs w:val="21"/>
                    </w:rPr>
                  </w:pPr>
                  <w:r>
                    <w:rPr>
                      <w:rFonts w:hint="eastAsia"/>
                      <w:color w:val="auto"/>
                      <w:sz w:val="21"/>
                      <w:szCs w:val="21"/>
                    </w:rPr>
                    <w:t>暂存于危废暂存间，委托资质单位处理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344" w:type="pct"/>
                  <w:tcBorders>
                    <w:left w:val="single" w:color="000000" w:sz="4" w:space="0"/>
                  </w:tcBorders>
                  <w:vAlign w:val="center"/>
                </w:tcPr>
                <w:p>
                  <w:pPr>
                    <w:pStyle w:val="83"/>
                    <w:spacing w:line="240" w:lineRule="auto"/>
                    <w:ind w:firstLine="0" w:firstLineChars="0"/>
                    <w:jc w:val="center"/>
                    <w:rPr>
                      <w:rFonts w:hint="eastAsia"/>
                      <w:color w:val="auto"/>
                      <w:sz w:val="21"/>
                      <w:szCs w:val="21"/>
                    </w:rPr>
                  </w:pPr>
                  <w:r>
                    <w:rPr>
                      <w:rFonts w:hint="eastAsia"/>
                      <w:color w:val="auto"/>
                      <w:sz w:val="21"/>
                      <w:szCs w:val="21"/>
                    </w:rPr>
                    <w:t>7</w:t>
                  </w:r>
                </w:p>
              </w:tc>
              <w:tc>
                <w:tcPr>
                  <w:tcW w:w="994" w:type="pct"/>
                  <w:vAlign w:val="center"/>
                </w:tcPr>
                <w:p>
                  <w:pPr>
                    <w:snapToGrid w:val="0"/>
                    <w:ind w:firstLine="0" w:firstLineChars="0"/>
                    <w:jc w:val="center"/>
                    <w:rPr>
                      <w:color w:val="auto"/>
                      <w:sz w:val="21"/>
                      <w:szCs w:val="21"/>
                    </w:rPr>
                  </w:pPr>
                  <w:r>
                    <w:rPr>
                      <w:rFonts w:hint="eastAsia"/>
                      <w:color w:val="auto"/>
                      <w:sz w:val="21"/>
                      <w:szCs w:val="21"/>
                    </w:rPr>
                    <w:t>废油桶</w:t>
                  </w:r>
                </w:p>
              </w:tc>
              <w:tc>
                <w:tcPr>
                  <w:tcW w:w="595" w:type="pct"/>
                  <w:vAlign w:val="center"/>
                </w:tcPr>
                <w:p>
                  <w:pPr>
                    <w:ind w:firstLine="0" w:firstLineChars="0"/>
                    <w:jc w:val="center"/>
                    <w:rPr>
                      <w:color w:val="auto"/>
                      <w:sz w:val="21"/>
                      <w:szCs w:val="21"/>
                    </w:rPr>
                  </w:pPr>
                  <w:r>
                    <w:rPr>
                      <w:color w:val="auto"/>
                      <w:sz w:val="21"/>
                      <w:szCs w:val="21"/>
                    </w:rPr>
                    <w:t>危险固废</w:t>
                  </w:r>
                </w:p>
              </w:tc>
              <w:tc>
                <w:tcPr>
                  <w:tcW w:w="590" w:type="pct"/>
                  <w:vAlign w:val="center"/>
                </w:tcPr>
                <w:p>
                  <w:pPr>
                    <w:adjustRightInd w:val="0"/>
                    <w:snapToGrid w:val="0"/>
                    <w:ind w:firstLine="0" w:firstLineChars="0"/>
                    <w:jc w:val="center"/>
                    <w:rPr>
                      <w:color w:val="auto"/>
                      <w:sz w:val="21"/>
                      <w:szCs w:val="21"/>
                    </w:rPr>
                  </w:pPr>
                  <w:r>
                    <w:rPr>
                      <w:color w:val="auto"/>
                      <w:sz w:val="21"/>
                      <w:szCs w:val="21"/>
                    </w:rPr>
                    <w:t>HW08</w:t>
                  </w:r>
                </w:p>
              </w:tc>
              <w:tc>
                <w:tcPr>
                  <w:tcW w:w="751" w:type="pct"/>
                  <w:vAlign w:val="center"/>
                </w:tcPr>
                <w:p>
                  <w:pPr>
                    <w:adjustRightInd w:val="0"/>
                    <w:snapToGrid w:val="0"/>
                    <w:ind w:firstLine="0" w:firstLineChars="0"/>
                    <w:jc w:val="center"/>
                    <w:rPr>
                      <w:color w:val="auto"/>
                      <w:sz w:val="21"/>
                      <w:szCs w:val="21"/>
                    </w:rPr>
                  </w:pPr>
                  <w:r>
                    <w:rPr>
                      <w:color w:val="auto"/>
                      <w:sz w:val="21"/>
                      <w:szCs w:val="21"/>
                    </w:rPr>
                    <w:t>900-249-08</w:t>
                  </w:r>
                </w:p>
              </w:tc>
              <w:tc>
                <w:tcPr>
                  <w:tcW w:w="625" w:type="pct"/>
                  <w:vAlign w:val="center"/>
                </w:tcPr>
                <w:p>
                  <w:pPr>
                    <w:ind w:firstLine="0" w:firstLineChars="0"/>
                    <w:jc w:val="center"/>
                    <w:rPr>
                      <w:color w:val="auto"/>
                      <w:sz w:val="21"/>
                      <w:szCs w:val="21"/>
                    </w:rPr>
                  </w:pPr>
                  <w:r>
                    <w:rPr>
                      <w:rFonts w:hint="eastAsia"/>
                      <w:color w:val="auto"/>
                      <w:sz w:val="21"/>
                      <w:szCs w:val="21"/>
                    </w:rPr>
                    <w:t>0.8</w:t>
                  </w:r>
                </w:p>
              </w:tc>
              <w:tc>
                <w:tcPr>
                  <w:tcW w:w="1096" w:type="pct"/>
                  <w:tcBorders>
                    <w:right w:val="single" w:color="000000" w:sz="4" w:space="0"/>
                  </w:tcBorders>
                  <w:vAlign w:val="center"/>
                </w:tcPr>
                <w:p>
                  <w:pPr>
                    <w:ind w:firstLine="0" w:firstLineChars="0"/>
                    <w:jc w:val="center"/>
                    <w:rPr>
                      <w:color w:val="auto"/>
                      <w:sz w:val="21"/>
                      <w:szCs w:val="21"/>
                    </w:rPr>
                  </w:pPr>
                  <w:r>
                    <w:rPr>
                      <w:rFonts w:hint="eastAsia"/>
                      <w:color w:val="auto"/>
                      <w:sz w:val="21"/>
                      <w:szCs w:val="21"/>
                    </w:rPr>
                    <w:t>暂存于危废暂存间，委托资质单位处理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344" w:type="pct"/>
                  <w:tcBorders>
                    <w:left w:val="single" w:color="000000" w:sz="4" w:space="0"/>
                    <w:bottom w:val="single" w:color="000000" w:sz="4" w:space="0"/>
                  </w:tcBorders>
                  <w:vAlign w:val="center"/>
                </w:tcPr>
                <w:p>
                  <w:pPr>
                    <w:pStyle w:val="83"/>
                    <w:spacing w:line="240" w:lineRule="auto"/>
                    <w:ind w:firstLine="0" w:firstLineChars="0"/>
                    <w:jc w:val="center"/>
                    <w:rPr>
                      <w:rFonts w:hint="eastAsia"/>
                      <w:color w:val="auto"/>
                      <w:sz w:val="21"/>
                      <w:szCs w:val="21"/>
                    </w:rPr>
                  </w:pPr>
                  <w:r>
                    <w:rPr>
                      <w:rFonts w:hint="eastAsia"/>
                      <w:color w:val="auto"/>
                      <w:sz w:val="21"/>
                      <w:szCs w:val="21"/>
                    </w:rPr>
                    <w:t>8</w:t>
                  </w:r>
                </w:p>
              </w:tc>
              <w:tc>
                <w:tcPr>
                  <w:tcW w:w="994" w:type="pct"/>
                  <w:tcBorders>
                    <w:bottom w:val="single" w:color="000000" w:sz="4" w:space="0"/>
                  </w:tcBorders>
                  <w:vAlign w:val="center"/>
                </w:tcPr>
                <w:p>
                  <w:pPr>
                    <w:snapToGrid w:val="0"/>
                    <w:ind w:firstLine="0" w:firstLineChars="0"/>
                    <w:jc w:val="center"/>
                    <w:rPr>
                      <w:color w:val="auto"/>
                      <w:sz w:val="21"/>
                      <w:szCs w:val="21"/>
                    </w:rPr>
                  </w:pPr>
                  <w:r>
                    <w:rPr>
                      <w:rFonts w:hint="eastAsia"/>
                      <w:color w:val="auto"/>
                      <w:sz w:val="21"/>
                      <w:szCs w:val="21"/>
                    </w:rPr>
                    <w:t>电捕焦油</w:t>
                  </w:r>
                </w:p>
              </w:tc>
              <w:tc>
                <w:tcPr>
                  <w:tcW w:w="595" w:type="pct"/>
                  <w:tcBorders>
                    <w:bottom w:val="single" w:color="000000" w:sz="4" w:space="0"/>
                  </w:tcBorders>
                  <w:vAlign w:val="center"/>
                </w:tcPr>
                <w:p>
                  <w:pPr>
                    <w:ind w:firstLine="0" w:firstLineChars="0"/>
                    <w:jc w:val="center"/>
                    <w:rPr>
                      <w:color w:val="auto"/>
                      <w:sz w:val="21"/>
                      <w:szCs w:val="21"/>
                    </w:rPr>
                  </w:pPr>
                  <w:r>
                    <w:rPr>
                      <w:color w:val="auto"/>
                      <w:sz w:val="21"/>
                      <w:szCs w:val="21"/>
                    </w:rPr>
                    <w:t>危险固废</w:t>
                  </w:r>
                </w:p>
              </w:tc>
              <w:tc>
                <w:tcPr>
                  <w:tcW w:w="590" w:type="pct"/>
                  <w:tcBorders>
                    <w:bottom w:val="single" w:color="000000" w:sz="4" w:space="0"/>
                  </w:tcBorders>
                  <w:vAlign w:val="center"/>
                </w:tcPr>
                <w:p>
                  <w:pPr>
                    <w:adjustRightInd w:val="0"/>
                    <w:snapToGrid w:val="0"/>
                    <w:ind w:firstLine="0" w:firstLineChars="0"/>
                    <w:jc w:val="center"/>
                    <w:rPr>
                      <w:color w:val="auto"/>
                      <w:sz w:val="21"/>
                      <w:szCs w:val="21"/>
                    </w:rPr>
                  </w:pPr>
                  <w:r>
                    <w:rPr>
                      <w:color w:val="auto"/>
                      <w:sz w:val="21"/>
                      <w:szCs w:val="21"/>
                    </w:rPr>
                    <w:t>HW49</w:t>
                  </w:r>
                </w:p>
              </w:tc>
              <w:tc>
                <w:tcPr>
                  <w:tcW w:w="751" w:type="pct"/>
                  <w:tcBorders>
                    <w:bottom w:val="single" w:color="000000" w:sz="4" w:space="0"/>
                  </w:tcBorders>
                  <w:vAlign w:val="center"/>
                </w:tcPr>
                <w:p>
                  <w:pPr>
                    <w:adjustRightInd w:val="0"/>
                    <w:snapToGrid w:val="0"/>
                    <w:ind w:firstLine="0" w:firstLineChars="0"/>
                    <w:jc w:val="center"/>
                    <w:rPr>
                      <w:color w:val="auto"/>
                      <w:sz w:val="21"/>
                      <w:szCs w:val="21"/>
                    </w:rPr>
                  </w:pPr>
                  <w:r>
                    <w:rPr>
                      <w:color w:val="auto"/>
                      <w:sz w:val="21"/>
                      <w:szCs w:val="21"/>
                    </w:rPr>
                    <w:t>900-039-49</w:t>
                  </w:r>
                </w:p>
              </w:tc>
              <w:tc>
                <w:tcPr>
                  <w:tcW w:w="625" w:type="pct"/>
                  <w:tcBorders>
                    <w:bottom w:val="single" w:color="000000" w:sz="4" w:space="0"/>
                  </w:tcBorders>
                  <w:vAlign w:val="center"/>
                </w:tcPr>
                <w:p>
                  <w:pPr>
                    <w:ind w:firstLine="0" w:firstLineChars="0"/>
                    <w:jc w:val="center"/>
                    <w:rPr>
                      <w:color w:val="auto"/>
                      <w:sz w:val="21"/>
                      <w:szCs w:val="21"/>
                    </w:rPr>
                  </w:pPr>
                  <w:r>
                    <w:rPr>
                      <w:rFonts w:hint="eastAsia"/>
                      <w:color w:val="auto"/>
                      <w:sz w:val="21"/>
                      <w:szCs w:val="21"/>
                    </w:rPr>
                    <w:t>0.39</w:t>
                  </w:r>
                </w:p>
              </w:tc>
              <w:tc>
                <w:tcPr>
                  <w:tcW w:w="1096" w:type="pct"/>
                  <w:tcBorders>
                    <w:bottom w:val="single" w:color="000000" w:sz="4" w:space="0"/>
                    <w:right w:val="single" w:color="000000" w:sz="4" w:space="0"/>
                  </w:tcBorders>
                  <w:vAlign w:val="center"/>
                </w:tcPr>
                <w:p>
                  <w:pPr>
                    <w:ind w:firstLine="0" w:firstLineChars="0"/>
                    <w:jc w:val="center"/>
                    <w:rPr>
                      <w:color w:val="auto"/>
                      <w:sz w:val="21"/>
                      <w:szCs w:val="21"/>
                    </w:rPr>
                  </w:pPr>
                  <w:r>
                    <w:rPr>
                      <w:rFonts w:hint="eastAsia"/>
                      <w:color w:val="auto"/>
                      <w:sz w:val="21"/>
                      <w:szCs w:val="21"/>
                    </w:rPr>
                    <w:t>暂存于危废暂存间，委托资质单位处理</w:t>
                  </w:r>
                </w:p>
              </w:tc>
            </w:tr>
          </w:tbl>
          <w:p>
            <w:pPr>
              <w:adjustRightInd w:val="0"/>
              <w:snapToGrid w:val="0"/>
              <w:ind w:firstLine="480"/>
              <w:jc w:val="left"/>
              <w:rPr>
                <w:color w:val="auto"/>
              </w:rPr>
            </w:pPr>
          </w:p>
          <w:p>
            <w:pPr>
              <w:adjustRightInd w:val="0"/>
              <w:snapToGrid w:val="0"/>
              <w:ind w:firstLine="480"/>
              <w:jc w:val="left"/>
              <w:rPr>
                <w:color w:val="auto"/>
              </w:rPr>
            </w:pPr>
            <w:r>
              <w:rPr>
                <w:rFonts w:hint="eastAsia"/>
                <w:color w:val="auto"/>
              </w:rPr>
              <w:t>（4）危险废物收集储存</w:t>
            </w:r>
          </w:p>
          <w:p>
            <w:pPr>
              <w:adjustRightInd w:val="0"/>
              <w:snapToGrid w:val="0"/>
              <w:ind w:firstLine="480"/>
              <w:rPr>
                <w:color w:val="auto"/>
              </w:rPr>
            </w:pPr>
            <w:r>
              <w:rPr>
                <w:rFonts w:hint="eastAsia"/>
                <w:color w:val="auto"/>
              </w:rPr>
              <w:t>建设单位应严格按照《危险废物储存污染控制标准》（GB18597-2023）建设危险废物暂存间，将危险废物分类转入容器内，并粘贴危险废物标签，并做好相应的纪录。对相应的暂存场建设防渗设施、防风、防雨、防晒并配备照明设施等，并与厂区内其它生产单元、办公生活区严格区分、单独隔离。对危险废物的转移处理须严格按照国家环境保护部第5号令《危险废物转移联单管理办法》执行。</w:t>
            </w:r>
          </w:p>
          <w:p>
            <w:pPr>
              <w:adjustRightInd w:val="0"/>
              <w:snapToGrid w:val="0"/>
              <w:ind w:firstLine="480"/>
              <w:rPr>
                <w:color w:val="auto"/>
              </w:rPr>
            </w:pPr>
            <w:r>
              <w:rPr>
                <w:rFonts w:hint="eastAsia"/>
                <w:color w:val="auto"/>
              </w:rPr>
              <w:t>根据《危险废物储存污染控制标准》（GB18597-2023），本项目危险废物暂存间设置情况如下：</w:t>
            </w:r>
          </w:p>
          <w:p>
            <w:pPr>
              <w:adjustRightInd w:val="0"/>
              <w:snapToGrid w:val="0"/>
              <w:ind w:firstLine="480"/>
              <w:rPr>
                <w:color w:val="auto"/>
              </w:rPr>
            </w:pPr>
            <w:r>
              <w:rPr>
                <w:rFonts w:hint="eastAsia"/>
                <w:color w:val="auto"/>
              </w:rPr>
              <w:t>本项目设置危废暂存间1座，面积约20m</w:t>
            </w:r>
            <w:r>
              <w:rPr>
                <w:rFonts w:hint="eastAsia"/>
                <w:color w:val="auto"/>
                <w:vertAlign w:val="superscript"/>
              </w:rPr>
              <w:t>2</w:t>
            </w:r>
            <w:r>
              <w:rPr>
                <w:rFonts w:hint="eastAsia"/>
                <w:color w:val="auto"/>
              </w:rPr>
              <w:t>，危废暂存间</w:t>
            </w:r>
            <w:r>
              <w:rPr>
                <w:color w:val="auto"/>
              </w:rPr>
              <w:t>按照《危险废物贮存污染控制标准》</w:t>
            </w:r>
            <w:r>
              <w:rPr>
                <w:rFonts w:hint="eastAsia"/>
                <w:color w:val="auto"/>
              </w:rPr>
              <w:t>（GB18597-2023）</w:t>
            </w:r>
            <w:r>
              <w:rPr>
                <w:color w:val="auto"/>
              </w:rPr>
              <w:t>的相关要求，房间四周壁及裙角硬化，并与地面防渗层连成整体；危废暂存间铺设HDPE-GCL复合防渗系统，渗透系数≤10</w:t>
            </w:r>
            <w:r>
              <w:rPr>
                <w:color w:val="auto"/>
                <w:vertAlign w:val="superscript"/>
              </w:rPr>
              <w:t>-10</w:t>
            </w:r>
            <w:r>
              <w:rPr>
                <w:color w:val="auto"/>
              </w:rPr>
              <w:t>cm/s。危废暂存间设置围堰，四面墙体均按照要求至少在1.2m高度处以下进行防渗处理，暂存间应封闭、防风、防雨、防日晒。不同废物分区存放，每个存放区设防漏裙脚，危险废物装入专用容器密闭储存。</w:t>
            </w:r>
            <w:r>
              <w:rPr>
                <w:rFonts w:hint="eastAsia"/>
                <w:color w:val="auto"/>
              </w:rPr>
              <w:t>项目危废暂存间设置事故池一座，避免液体泄漏后漫流地面造成地下水、土壤污染，事故池大小为2m</w:t>
            </w:r>
            <w:r>
              <w:rPr>
                <w:rFonts w:hint="eastAsia"/>
                <w:color w:val="auto"/>
                <w:vertAlign w:val="superscript"/>
              </w:rPr>
              <w:t>3</w:t>
            </w:r>
            <w:r>
              <w:rPr>
                <w:rFonts w:hint="eastAsia"/>
                <w:color w:val="auto"/>
              </w:rPr>
              <w:t>，池壁和池底均使用</w:t>
            </w:r>
            <w:r>
              <w:rPr>
                <w:color w:val="auto"/>
              </w:rPr>
              <w:t>HDPE-GCL复合防渗系统，渗透系数≤10</w:t>
            </w:r>
            <w:r>
              <w:rPr>
                <w:color w:val="auto"/>
                <w:vertAlign w:val="superscript"/>
              </w:rPr>
              <w:t>-10</w:t>
            </w:r>
            <w:r>
              <w:rPr>
                <w:color w:val="auto"/>
              </w:rPr>
              <w:t>cm/s。</w:t>
            </w:r>
          </w:p>
          <w:p>
            <w:pPr>
              <w:adjustRightInd w:val="0"/>
              <w:snapToGrid w:val="0"/>
              <w:ind w:firstLine="480"/>
              <w:jc w:val="left"/>
              <w:rPr>
                <w:color w:val="auto"/>
              </w:rPr>
            </w:pPr>
            <w:r>
              <w:rPr>
                <w:rFonts w:hint="eastAsia"/>
                <w:color w:val="auto"/>
              </w:rPr>
              <w:t>危险废物贮存设施的运行与管理要求</w:t>
            </w:r>
          </w:p>
          <w:p>
            <w:pPr>
              <w:adjustRightInd w:val="0"/>
              <w:snapToGrid w:val="0"/>
              <w:ind w:firstLine="480"/>
              <w:jc w:val="left"/>
              <w:rPr>
                <w:color w:val="auto"/>
              </w:rPr>
            </w:pPr>
            <w:r>
              <w:rPr>
                <w:rFonts w:hint="eastAsia"/>
                <w:color w:val="auto"/>
              </w:rPr>
              <w:t>①在常温常压下不易水解、不易挥发的固态危险废物可分类堆放贮存，其他固态危险废物应装入容器或包装物内贮存。具有热塑性的危险废物应装入容器或包装袋内进行贮存。</w:t>
            </w:r>
          </w:p>
          <w:p>
            <w:pPr>
              <w:adjustRightInd w:val="0"/>
              <w:snapToGrid w:val="0"/>
              <w:ind w:firstLine="480"/>
              <w:jc w:val="left"/>
              <w:rPr>
                <w:color w:val="auto"/>
              </w:rPr>
            </w:pPr>
            <w:r>
              <w:rPr>
                <w:rFonts w:hint="eastAsia"/>
                <w:color w:val="auto"/>
              </w:rPr>
              <w:t>②易产生粉尘、VOCs、酸雾、有毒有害大气污染物和刺激性气味气体的危险废物应装入闭口容器 或包装物内贮存。</w:t>
            </w:r>
          </w:p>
          <w:p>
            <w:pPr>
              <w:adjustRightInd w:val="0"/>
              <w:snapToGrid w:val="0"/>
              <w:ind w:firstLine="480"/>
              <w:jc w:val="left"/>
              <w:rPr>
                <w:color w:val="auto"/>
              </w:rPr>
            </w:pPr>
            <w:r>
              <w:rPr>
                <w:rFonts w:hint="eastAsia"/>
                <w:color w:val="auto"/>
              </w:rPr>
              <w:t>③危险废物存入贮存设施前应对危险废物类别和特性与危险废物标签等危险废物识别标志的一致性进行核验。</w:t>
            </w:r>
          </w:p>
          <w:p>
            <w:pPr>
              <w:adjustRightInd w:val="0"/>
              <w:snapToGrid w:val="0"/>
              <w:ind w:firstLine="480"/>
              <w:jc w:val="left"/>
              <w:rPr>
                <w:color w:val="auto"/>
              </w:rPr>
            </w:pPr>
            <w:r>
              <w:rPr>
                <w:rFonts w:hint="eastAsia"/>
                <w:color w:val="auto"/>
              </w:rPr>
              <w:t>④应定期检查危险废物的贮存状况，及时清理贮存设施地面，更换破损泄漏的危险废物贮存容器 和包装物，保证堆存危险废物的防雨、防风、防扬尘等设施功能完好。</w:t>
            </w:r>
          </w:p>
          <w:p>
            <w:pPr>
              <w:adjustRightInd w:val="0"/>
              <w:snapToGrid w:val="0"/>
              <w:ind w:firstLine="480"/>
              <w:jc w:val="left"/>
              <w:rPr>
                <w:color w:val="auto"/>
              </w:rPr>
            </w:pPr>
            <w:r>
              <w:rPr>
                <w:rFonts w:hint="eastAsia"/>
                <w:color w:val="auto"/>
              </w:rPr>
              <w:t>④贮存设施运行期间，应按国家有关标准和规定建立危险废物管理台账并保存。</w:t>
            </w:r>
          </w:p>
          <w:p>
            <w:pPr>
              <w:adjustRightInd w:val="0"/>
              <w:snapToGrid w:val="0"/>
              <w:ind w:firstLine="480"/>
              <w:jc w:val="left"/>
              <w:rPr>
                <w:color w:val="auto"/>
              </w:rPr>
            </w:pPr>
            <w:r>
              <w:rPr>
                <w:rFonts w:hint="eastAsia"/>
                <w:color w:val="auto"/>
              </w:rPr>
              <w:t>⑤ 建设单位建立贮存设施环境管理制度、管理人员岗位职责制度、设施运行操作制度、人员岗位培训制度等。</w:t>
            </w:r>
          </w:p>
          <w:p>
            <w:pPr>
              <w:adjustRightInd w:val="0"/>
              <w:snapToGrid w:val="0"/>
              <w:ind w:firstLine="480"/>
              <w:jc w:val="left"/>
              <w:rPr>
                <w:color w:val="auto"/>
              </w:rPr>
            </w:pPr>
            <w:r>
              <w:rPr>
                <w:rFonts w:hint="eastAsia"/>
                <w:color w:val="auto"/>
              </w:rPr>
              <w:t>⑥依据国家土壤和地下水污染防治的有关规定，结合贮存设施特点建立土壤和地下水污染隐患排查制度，并定期开展隐患排查；发现隐患应及时采取措施消除隐患，并建立档案。</w:t>
            </w:r>
          </w:p>
          <w:p>
            <w:pPr>
              <w:adjustRightInd w:val="0"/>
              <w:snapToGrid w:val="0"/>
              <w:ind w:firstLine="480"/>
              <w:jc w:val="left"/>
              <w:rPr>
                <w:color w:val="auto"/>
              </w:rPr>
            </w:pPr>
            <w:r>
              <w:rPr>
                <w:rFonts w:hint="eastAsia"/>
                <w:color w:val="auto"/>
              </w:rPr>
              <w:t>⑦建立贮存设施全部档案，包括设计、施工、验收、运行、监测和环 境应急等，应按国家有关档案管理的法律法规进行整理和归档。</w:t>
            </w:r>
          </w:p>
          <w:p>
            <w:pPr>
              <w:adjustRightInd w:val="0"/>
              <w:snapToGrid w:val="0"/>
              <w:ind w:firstLine="480"/>
              <w:rPr>
                <w:color w:val="auto"/>
              </w:rPr>
            </w:pPr>
            <w:r>
              <w:rPr>
                <w:color w:val="auto"/>
              </w:rPr>
              <w:t>危险废物均须做好危险废物情况的记录，记录上须注明危险废物的名称、来源、数量、特性和包装容器的类别、入库日期、存放库位、废物出库日期及接收单位名称，由专人进行管理明确责任，做到双人双锁。转移危险废物按照国家有关规定填写危险废物转移联单，环境保护行政主管部门提出申请，未经批准不得转移。运输时采用符合国家标准的专用容器和运输车辆。危险废物管理计划包括减少危险废物产生量和危害性的措施以及危险废物贮存、利用、处置措施。</w:t>
            </w:r>
            <w:r>
              <w:rPr>
                <w:rFonts w:hint="eastAsia"/>
                <w:color w:val="auto"/>
              </w:rPr>
              <w:t>定期检查危险废物的贮存状况，及时清理贮存设施地面，更换破损泄漏的危险废物贮存容器和包装物，建立贮存设施环境管理制度、管理人员岗位职责制度、设施运行操作制度、人员岗位培训制度。建立土壤和地下水污染隐患排查制度，并定期开展隐患排查；发现隐患应及时采取措施消除隐患，并建立档案。</w:t>
            </w:r>
          </w:p>
          <w:p>
            <w:pPr>
              <w:adjustRightInd w:val="0"/>
              <w:snapToGrid w:val="0"/>
              <w:ind w:firstLine="480"/>
              <w:rPr>
                <w:color w:val="auto"/>
              </w:rPr>
            </w:pPr>
            <w:r>
              <w:rPr>
                <w:rFonts w:hint="eastAsia"/>
                <w:color w:val="auto"/>
              </w:rPr>
              <w:t>项目在严格落实环评提出的各项固体废弃物收集、储存设施确实实施的情况下，一般固体废弃物的储存处置能够达到《一般工业固体废物贮存和填埋污染控制标准》（GB18599-2020）中有关规定，项目所产生的危险废物能够满足《危险废物贮存污染控制标准》（GB18597-2023）中有关规定，项目所产生的固体废弃物能够得到合理、有效的处置，各固体废弃物去向明确，处置率达到100%，对环境的影响较小。</w:t>
            </w:r>
          </w:p>
          <w:p>
            <w:pPr>
              <w:pStyle w:val="4"/>
              <w:rPr>
                <w:color w:val="auto"/>
              </w:rPr>
            </w:pPr>
            <w:r>
              <w:rPr>
                <w:rFonts w:hint="eastAsia"/>
                <w:color w:val="auto"/>
              </w:rPr>
              <w:t>5</w:t>
            </w:r>
            <w:r>
              <w:rPr>
                <w:color w:val="auto"/>
              </w:rPr>
              <w:t>地下水、土壤</w:t>
            </w:r>
          </w:p>
          <w:p>
            <w:pPr>
              <w:ind w:firstLine="480"/>
              <w:rPr>
                <w:color w:val="auto"/>
              </w:rPr>
            </w:pPr>
            <w:r>
              <w:rPr>
                <w:rFonts w:hint="eastAsia"/>
                <w:color w:val="auto"/>
              </w:rPr>
              <w:t xml:space="preserve">根据项目特点，项目可能对地下水及土壤造成影响的为沥青储罐区、危险废物储存库，主要污染物为危废、沥青、重油、柴油和导热油，污染物类型为危险废物、沥青、重油、柴油和导热油的泄露。 </w:t>
            </w:r>
          </w:p>
          <w:p>
            <w:pPr>
              <w:ind w:firstLine="480"/>
              <w:rPr>
                <w:color w:val="auto"/>
              </w:rPr>
            </w:pPr>
            <w:r>
              <w:rPr>
                <w:rFonts w:hint="eastAsia"/>
                <w:color w:val="auto"/>
              </w:rPr>
              <w:t>本项目厂址外 500m 范围内没有地下水集中式饮用水水源和热水、矿泉水、温泉等特殊地下水资源，且无废水直接外排。</w:t>
            </w:r>
            <w:r>
              <w:rPr>
                <w:color w:val="auto"/>
              </w:rPr>
              <w:t>为防止本项目的生产运行对区域地下水、土壤环境造成不利影响，依据污染物产生及处理的过程、环节，结合本项目总平面布置情况，将厂区分为一般防渗区和重点防渗区。</w:t>
            </w:r>
            <w:r>
              <w:rPr>
                <w:rFonts w:hint="eastAsia"/>
                <w:color w:val="auto"/>
              </w:rPr>
              <w:t>厂区沥青储罐区、重油、柴油、</w:t>
            </w:r>
            <w:r>
              <w:rPr>
                <w:color w:val="auto"/>
              </w:rPr>
              <w:t>事故池</w:t>
            </w:r>
            <w:r>
              <w:rPr>
                <w:rFonts w:hint="eastAsia"/>
                <w:color w:val="auto"/>
              </w:rPr>
              <w:t xml:space="preserve">、危废暂存间做重点防渗，搅拌区、原料库区、生产车间、初期雨水收集池等做一般防渗。因此，本项目在采取上述防治措施的前提下，项目建设和生产对地下水和土壤影响较小。 </w:t>
            </w:r>
          </w:p>
          <w:p>
            <w:pPr>
              <w:ind w:firstLine="480"/>
              <w:jc w:val="left"/>
              <w:rPr>
                <w:color w:val="auto"/>
              </w:rPr>
            </w:pPr>
            <w:r>
              <w:rPr>
                <w:color w:val="auto"/>
              </w:rPr>
              <w:t>分区渗措施如下：</w:t>
            </w:r>
          </w:p>
          <w:p>
            <w:pPr>
              <w:pStyle w:val="48"/>
              <w:spacing w:line="360" w:lineRule="auto"/>
              <w:ind w:firstLine="480" w:firstLineChars="200"/>
              <w:rPr>
                <w:rFonts w:ascii="Times New Roman" w:hAnsi="Times New Roman" w:cs="Times New Roman"/>
                <w:color w:val="auto"/>
              </w:rPr>
            </w:pPr>
            <w:r>
              <w:rPr>
                <w:rFonts w:ascii="Times New Roman" w:hAnsi="Times New Roman" w:cs="Times New Roman"/>
                <w:color w:val="auto"/>
              </w:rPr>
              <w:t>对厂区可能泄漏污染物的污染区地面进行防渗处理，并及时地将泄漏/渗漏的污染物收集起来进行处理，可有效防治洒落地面的污染物渗入地下。根据项目各功能单元是否可能对土壤造成污染及其风险程度，采取与地下水污染防渗的要求原则按照《危险废物贮存污染控制标准》（GB18597-2023）、《一般工业固体废物贮存、处置场污染控制标准》（GB18599-2020）的要求，将厂区划分为重点防渗区、一般防渗区、简单防渗区。</w:t>
            </w:r>
          </w:p>
          <w:p>
            <w:pPr>
              <w:snapToGrid w:val="0"/>
              <w:ind w:firstLine="480"/>
              <w:jc w:val="center"/>
              <w:rPr>
                <w:color w:val="auto"/>
              </w:rPr>
            </w:pPr>
            <w:r>
              <w:rPr>
                <w:color w:val="auto"/>
              </w:rPr>
              <w:t>表</w:t>
            </w:r>
            <w:r>
              <w:rPr>
                <w:rFonts w:hint="eastAsia"/>
                <w:color w:val="auto"/>
              </w:rPr>
              <w:t>4-14</w:t>
            </w:r>
            <w:r>
              <w:rPr>
                <w:color w:val="auto"/>
              </w:rPr>
              <w:t>项目防渗分区</w:t>
            </w:r>
          </w:p>
          <w:tbl>
            <w:tblPr>
              <w:tblStyle w:val="31"/>
              <w:tblW w:w="79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8"/>
              <w:gridCol w:w="1729"/>
              <w:gridCol w:w="2689"/>
              <w:gridCol w:w="29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tcBorders>
                    <w:top w:val="single" w:color="auto" w:sz="4" w:space="0"/>
                    <w:left w:val="single" w:color="auto" w:sz="0" w:space="0"/>
                  </w:tcBorders>
                  <w:vAlign w:val="center"/>
                </w:tcPr>
                <w:p>
                  <w:pPr>
                    <w:ind w:firstLine="0" w:firstLineChars="0"/>
                    <w:jc w:val="center"/>
                    <w:rPr>
                      <w:color w:val="auto"/>
                      <w:sz w:val="21"/>
                      <w:szCs w:val="21"/>
                    </w:rPr>
                  </w:pPr>
                  <w:r>
                    <w:rPr>
                      <w:color w:val="auto"/>
                      <w:sz w:val="21"/>
                      <w:szCs w:val="21"/>
                    </w:rPr>
                    <w:t>序号</w:t>
                  </w:r>
                </w:p>
              </w:tc>
              <w:tc>
                <w:tcPr>
                  <w:tcW w:w="1086" w:type="pct"/>
                  <w:tcBorders>
                    <w:top w:val="single" w:color="auto" w:sz="4" w:space="0"/>
                  </w:tcBorders>
                  <w:vAlign w:val="center"/>
                </w:tcPr>
                <w:p>
                  <w:pPr>
                    <w:ind w:firstLine="0" w:firstLineChars="0"/>
                    <w:jc w:val="center"/>
                    <w:rPr>
                      <w:color w:val="auto"/>
                      <w:sz w:val="21"/>
                      <w:szCs w:val="21"/>
                    </w:rPr>
                  </w:pPr>
                  <w:r>
                    <w:rPr>
                      <w:color w:val="auto"/>
                      <w:sz w:val="21"/>
                      <w:szCs w:val="21"/>
                    </w:rPr>
                    <w:t>防治区分区</w:t>
                  </w:r>
                </w:p>
              </w:tc>
              <w:tc>
                <w:tcPr>
                  <w:tcW w:w="1689" w:type="pct"/>
                  <w:tcBorders>
                    <w:top w:val="single" w:color="auto" w:sz="4" w:space="0"/>
                    <w:right w:val="single" w:color="auto" w:sz="4" w:space="0"/>
                  </w:tcBorders>
                  <w:vAlign w:val="center"/>
                </w:tcPr>
                <w:p>
                  <w:pPr>
                    <w:ind w:firstLine="0" w:firstLineChars="0"/>
                    <w:jc w:val="center"/>
                    <w:rPr>
                      <w:color w:val="auto"/>
                      <w:sz w:val="21"/>
                      <w:szCs w:val="21"/>
                    </w:rPr>
                  </w:pPr>
                  <w:r>
                    <w:rPr>
                      <w:color w:val="auto"/>
                      <w:sz w:val="21"/>
                      <w:szCs w:val="21"/>
                    </w:rPr>
                    <w:t>防渗区域</w:t>
                  </w:r>
                </w:p>
              </w:tc>
              <w:tc>
                <w:tcPr>
                  <w:tcW w:w="1841" w:type="pct"/>
                  <w:tcBorders>
                    <w:top w:val="single" w:color="auto" w:sz="4" w:space="0"/>
                    <w:right w:val="single" w:color="auto" w:sz="4" w:space="0"/>
                  </w:tcBorders>
                  <w:vAlign w:val="center"/>
                </w:tcPr>
                <w:p>
                  <w:pPr>
                    <w:ind w:firstLine="0" w:firstLineChars="0"/>
                    <w:jc w:val="center"/>
                    <w:rPr>
                      <w:color w:val="auto"/>
                      <w:sz w:val="21"/>
                      <w:szCs w:val="21"/>
                    </w:rPr>
                  </w:pPr>
                  <w:r>
                    <w:rPr>
                      <w:rFonts w:hint="eastAsia"/>
                      <w:color w:val="auto"/>
                      <w:sz w:val="21"/>
                      <w:szCs w:val="21"/>
                    </w:rPr>
                    <w:t>防渗要求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3" w:hRule="atLeast"/>
                <w:jc w:val="center"/>
              </w:trPr>
              <w:tc>
                <w:tcPr>
                  <w:tcW w:w="382" w:type="pct"/>
                  <w:tcBorders>
                    <w:left w:val="single" w:color="auto" w:sz="4" w:space="0"/>
                  </w:tcBorders>
                  <w:vAlign w:val="center"/>
                </w:tcPr>
                <w:p>
                  <w:pPr>
                    <w:ind w:firstLine="0" w:firstLineChars="0"/>
                    <w:jc w:val="center"/>
                    <w:rPr>
                      <w:color w:val="auto"/>
                      <w:sz w:val="21"/>
                      <w:szCs w:val="21"/>
                    </w:rPr>
                  </w:pPr>
                  <w:r>
                    <w:rPr>
                      <w:color w:val="auto"/>
                      <w:sz w:val="21"/>
                      <w:szCs w:val="21"/>
                    </w:rPr>
                    <w:t>1</w:t>
                  </w:r>
                </w:p>
              </w:tc>
              <w:tc>
                <w:tcPr>
                  <w:tcW w:w="1086" w:type="pct"/>
                  <w:vAlign w:val="center"/>
                </w:tcPr>
                <w:p>
                  <w:pPr>
                    <w:ind w:firstLine="0" w:firstLineChars="0"/>
                    <w:jc w:val="center"/>
                    <w:rPr>
                      <w:color w:val="auto"/>
                      <w:sz w:val="21"/>
                      <w:szCs w:val="21"/>
                    </w:rPr>
                  </w:pPr>
                  <w:r>
                    <w:rPr>
                      <w:color w:val="auto"/>
                      <w:sz w:val="21"/>
                      <w:szCs w:val="21"/>
                    </w:rPr>
                    <w:t>重点污染</w:t>
                  </w:r>
                  <w:r>
                    <w:rPr>
                      <w:rFonts w:hint="eastAsia"/>
                      <w:color w:val="auto"/>
                      <w:sz w:val="21"/>
                      <w:szCs w:val="21"/>
                    </w:rPr>
                    <w:t>防治</w:t>
                  </w:r>
                  <w:r>
                    <w:rPr>
                      <w:color w:val="auto"/>
                      <w:sz w:val="21"/>
                      <w:szCs w:val="21"/>
                    </w:rPr>
                    <w:t>区</w:t>
                  </w:r>
                </w:p>
              </w:tc>
              <w:tc>
                <w:tcPr>
                  <w:tcW w:w="1689" w:type="pct"/>
                  <w:tcBorders>
                    <w:right w:val="single" w:color="auto" w:sz="4" w:space="0"/>
                  </w:tcBorders>
                  <w:vAlign w:val="center"/>
                </w:tcPr>
                <w:p>
                  <w:pPr>
                    <w:ind w:firstLine="0" w:firstLineChars="0"/>
                    <w:jc w:val="center"/>
                    <w:rPr>
                      <w:color w:val="auto"/>
                      <w:sz w:val="21"/>
                      <w:szCs w:val="21"/>
                    </w:rPr>
                  </w:pPr>
                  <w:r>
                    <w:rPr>
                      <w:rFonts w:hint="eastAsia"/>
                      <w:color w:val="auto"/>
                      <w:sz w:val="21"/>
                      <w:szCs w:val="21"/>
                    </w:rPr>
                    <w:t>沥青储罐区、柴油罐区、重油罐区、</w:t>
                  </w:r>
                  <w:r>
                    <w:rPr>
                      <w:color w:val="auto"/>
                      <w:sz w:val="21"/>
                      <w:szCs w:val="21"/>
                    </w:rPr>
                    <w:t>事故池</w:t>
                  </w:r>
                  <w:r>
                    <w:rPr>
                      <w:rFonts w:hint="eastAsia"/>
                      <w:color w:val="auto"/>
                      <w:sz w:val="21"/>
                      <w:szCs w:val="21"/>
                    </w:rPr>
                    <w:t>、危废暂存间</w:t>
                  </w:r>
                </w:p>
              </w:tc>
              <w:tc>
                <w:tcPr>
                  <w:tcW w:w="1841" w:type="pct"/>
                  <w:tcBorders>
                    <w:right w:val="single" w:color="auto" w:sz="4" w:space="0"/>
                  </w:tcBorders>
                  <w:vAlign w:val="center"/>
                </w:tcPr>
                <w:p>
                  <w:pPr>
                    <w:pStyle w:val="2"/>
                    <w:spacing w:after="0"/>
                    <w:ind w:firstLine="0" w:firstLineChars="0"/>
                    <w:jc w:val="center"/>
                    <w:rPr>
                      <w:rFonts w:hint="eastAsia" w:eastAsia="宋体"/>
                      <w:color w:val="auto"/>
                      <w:szCs w:val="21"/>
                      <w:lang w:eastAsia="zh-CN"/>
                    </w:rPr>
                  </w:pPr>
                  <w:r>
                    <w:rPr>
                      <w:color w:val="auto"/>
                    </w:rPr>
                    <w:t>等效粘土防渗层 Mb≥6m，K≤1  ×10</w:t>
                  </w:r>
                  <w:r>
                    <w:rPr>
                      <w:color w:val="auto"/>
                      <w:vertAlign w:val="superscript"/>
                    </w:rPr>
                    <w:t>-7</w:t>
                  </w:r>
                  <w:r>
                    <w:rPr>
                      <w:color w:val="auto"/>
                    </w:rPr>
                    <w:t>cm/s；或参照 GB18598执行</w:t>
                  </w:r>
                  <w:r>
                    <w:rPr>
                      <w:rFonts w:hint="eastAsia"/>
                      <w:color w:val="auto"/>
                    </w:rPr>
                    <w:t>，</w:t>
                  </w:r>
                  <w:r>
                    <w:rPr>
                      <w:rFonts w:hint="eastAsia"/>
                      <w:color w:val="auto"/>
                      <w:szCs w:val="21"/>
                    </w:rPr>
                    <w:t>柴油罐、重油罐采取双层罐</w:t>
                  </w:r>
                  <w:r>
                    <w:rPr>
                      <w:rStyle w:val="37"/>
                      <w:rFonts w:hint="eastAsia"/>
                      <w:color w:val="auto"/>
                      <w:lang w:eastAsia="zh-CN"/>
                    </w:rPr>
                    <w:t>，防渗措施</w:t>
                  </w:r>
                  <w:r>
                    <w:rPr>
                      <w:rStyle w:val="37"/>
                      <w:rFonts w:hint="eastAsia"/>
                      <w:color w:val="auto"/>
                      <w:lang w:val="en-US" w:eastAsia="zh-CN"/>
                    </w:rPr>
                    <w:t>参</w:t>
                  </w:r>
                  <w:r>
                    <w:rPr>
                      <w:rStyle w:val="37"/>
                      <w:rFonts w:hint="eastAsia"/>
                      <w:color w:val="auto"/>
                      <w:lang w:eastAsia="zh-CN"/>
                    </w:rPr>
                    <w:t>照国家标准《汽车加油加气站设计与施工规范》、《地下金属油罐防水防腐技术规范》和《石油化工工程防渗技术规范》、《加油站地下水污染防治技术指南（试行）》</w:t>
                  </w:r>
                  <w:r>
                    <w:rPr>
                      <w:rStyle w:val="37"/>
                      <w:rFonts w:hint="eastAsia"/>
                      <w:color w:val="auto"/>
                      <w:lang w:val="en-US" w:eastAsia="zh-CN"/>
                    </w:rPr>
                    <w:t>等</w:t>
                  </w:r>
                  <w:r>
                    <w:rPr>
                      <w:rStyle w:val="37"/>
                      <w:rFonts w:hint="eastAsia"/>
                      <w:color w:val="auto"/>
                      <w:lang w:eastAsia="zh-CN"/>
                    </w:rPr>
                    <w:t>关规定进行设计、施工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tcBorders>
                    <w:left w:val="single" w:color="auto" w:sz="4" w:space="0"/>
                  </w:tcBorders>
                  <w:vAlign w:val="center"/>
                </w:tcPr>
                <w:p>
                  <w:pPr>
                    <w:ind w:firstLine="0" w:firstLineChars="0"/>
                    <w:jc w:val="center"/>
                    <w:rPr>
                      <w:color w:val="auto"/>
                      <w:sz w:val="21"/>
                      <w:szCs w:val="21"/>
                    </w:rPr>
                  </w:pPr>
                  <w:r>
                    <w:rPr>
                      <w:rFonts w:hint="eastAsia"/>
                      <w:color w:val="auto"/>
                      <w:sz w:val="21"/>
                      <w:szCs w:val="21"/>
                    </w:rPr>
                    <w:t>2</w:t>
                  </w:r>
                </w:p>
              </w:tc>
              <w:tc>
                <w:tcPr>
                  <w:tcW w:w="1086" w:type="pct"/>
                  <w:vAlign w:val="center"/>
                </w:tcPr>
                <w:p>
                  <w:pPr>
                    <w:ind w:firstLine="0" w:firstLineChars="0"/>
                    <w:jc w:val="center"/>
                    <w:rPr>
                      <w:color w:val="auto"/>
                      <w:sz w:val="21"/>
                      <w:szCs w:val="21"/>
                    </w:rPr>
                  </w:pPr>
                  <w:r>
                    <w:rPr>
                      <w:color w:val="auto"/>
                      <w:sz w:val="21"/>
                      <w:szCs w:val="21"/>
                    </w:rPr>
                    <w:t>一般污染防治区</w:t>
                  </w:r>
                </w:p>
              </w:tc>
              <w:tc>
                <w:tcPr>
                  <w:tcW w:w="1689" w:type="pct"/>
                  <w:tcBorders>
                    <w:right w:val="single" w:color="auto" w:sz="4" w:space="0"/>
                  </w:tcBorders>
                  <w:vAlign w:val="center"/>
                </w:tcPr>
                <w:p>
                  <w:pPr>
                    <w:ind w:firstLine="0" w:firstLineChars="0"/>
                    <w:rPr>
                      <w:color w:val="auto"/>
                      <w:sz w:val="21"/>
                      <w:szCs w:val="21"/>
                    </w:rPr>
                  </w:pPr>
                  <w:r>
                    <w:rPr>
                      <w:color w:val="auto"/>
                      <w:sz w:val="21"/>
                      <w:szCs w:val="21"/>
                    </w:rPr>
                    <w:t>生产车间、初期雨水收集池</w:t>
                  </w:r>
                  <w:r>
                    <w:rPr>
                      <w:rFonts w:hint="eastAsia"/>
                      <w:color w:val="auto"/>
                      <w:sz w:val="21"/>
                      <w:szCs w:val="21"/>
                    </w:rPr>
                    <w:t>及车辆清洗废水沉淀池</w:t>
                  </w:r>
                  <w:r>
                    <w:rPr>
                      <w:color w:val="auto"/>
                      <w:sz w:val="21"/>
                      <w:szCs w:val="21"/>
                    </w:rPr>
                    <w:t>等</w:t>
                  </w:r>
                </w:p>
              </w:tc>
              <w:tc>
                <w:tcPr>
                  <w:tcW w:w="1841" w:type="pct"/>
                  <w:tcBorders>
                    <w:right w:val="single" w:color="auto" w:sz="4" w:space="0"/>
                  </w:tcBorders>
                  <w:vAlign w:val="center"/>
                </w:tcPr>
                <w:p>
                  <w:pPr>
                    <w:pStyle w:val="2"/>
                    <w:spacing w:after="0"/>
                    <w:ind w:firstLine="0" w:firstLineChars="0"/>
                    <w:jc w:val="center"/>
                    <w:rPr>
                      <w:color w:val="auto"/>
                      <w:szCs w:val="21"/>
                    </w:rPr>
                  </w:pPr>
                  <w:r>
                    <w:rPr>
                      <w:color w:val="auto"/>
                    </w:rPr>
                    <w:t>等效粘土防渗层 Mb≥1.5m， K≤1×10</w:t>
                  </w:r>
                  <w:r>
                    <w:rPr>
                      <w:color w:val="auto"/>
                      <w:vertAlign w:val="superscript"/>
                    </w:rPr>
                    <w:t>-7</w:t>
                  </w:r>
                  <w:r>
                    <w:rPr>
                      <w:color w:val="auto"/>
                    </w:rPr>
                    <w:t>cm/s；或参照 GB16889执行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tcBorders>
                    <w:left w:val="single" w:color="auto" w:sz="4" w:space="0"/>
                    <w:bottom w:val="single" w:color="auto" w:sz="4" w:space="0"/>
                  </w:tcBorders>
                  <w:vAlign w:val="center"/>
                </w:tcPr>
                <w:p>
                  <w:pPr>
                    <w:ind w:firstLine="0" w:firstLineChars="0"/>
                    <w:jc w:val="center"/>
                    <w:rPr>
                      <w:color w:val="auto"/>
                      <w:sz w:val="21"/>
                      <w:szCs w:val="21"/>
                    </w:rPr>
                  </w:pPr>
                  <w:r>
                    <w:rPr>
                      <w:rFonts w:hint="eastAsia"/>
                      <w:color w:val="auto"/>
                      <w:sz w:val="21"/>
                      <w:szCs w:val="21"/>
                    </w:rPr>
                    <w:t>3</w:t>
                  </w:r>
                </w:p>
              </w:tc>
              <w:tc>
                <w:tcPr>
                  <w:tcW w:w="1086" w:type="pct"/>
                  <w:tcBorders>
                    <w:bottom w:val="single" w:color="auto" w:sz="4" w:space="0"/>
                  </w:tcBorders>
                  <w:vAlign w:val="center"/>
                </w:tcPr>
                <w:p>
                  <w:pPr>
                    <w:ind w:firstLine="0" w:firstLineChars="0"/>
                    <w:jc w:val="center"/>
                    <w:rPr>
                      <w:color w:val="auto"/>
                      <w:sz w:val="21"/>
                      <w:szCs w:val="21"/>
                    </w:rPr>
                  </w:pPr>
                  <w:r>
                    <w:rPr>
                      <w:color w:val="auto"/>
                      <w:sz w:val="21"/>
                      <w:szCs w:val="21"/>
                    </w:rPr>
                    <w:t>简单污染防治区</w:t>
                  </w:r>
                </w:p>
              </w:tc>
              <w:tc>
                <w:tcPr>
                  <w:tcW w:w="1689" w:type="pct"/>
                  <w:tcBorders>
                    <w:bottom w:val="single" w:color="auto" w:sz="4" w:space="0"/>
                    <w:right w:val="single" w:color="auto" w:sz="4" w:space="0"/>
                  </w:tcBorders>
                  <w:vAlign w:val="center"/>
                </w:tcPr>
                <w:p>
                  <w:pPr>
                    <w:ind w:firstLine="0" w:firstLineChars="0"/>
                    <w:jc w:val="center"/>
                    <w:rPr>
                      <w:color w:val="auto"/>
                      <w:sz w:val="21"/>
                      <w:szCs w:val="21"/>
                    </w:rPr>
                  </w:pPr>
                  <w:r>
                    <w:rPr>
                      <w:color w:val="auto"/>
                      <w:sz w:val="21"/>
                      <w:szCs w:val="21"/>
                    </w:rPr>
                    <w:t>其他</w:t>
                  </w:r>
                </w:p>
              </w:tc>
              <w:tc>
                <w:tcPr>
                  <w:tcW w:w="1841" w:type="pct"/>
                  <w:tcBorders>
                    <w:bottom w:val="single" w:color="auto" w:sz="4" w:space="0"/>
                    <w:right w:val="single" w:color="auto" w:sz="4" w:space="0"/>
                  </w:tcBorders>
                  <w:vAlign w:val="center"/>
                </w:tcPr>
                <w:p>
                  <w:pPr>
                    <w:pStyle w:val="2"/>
                    <w:spacing w:after="0"/>
                    <w:ind w:firstLine="0" w:firstLineChars="0"/>
                    <w:jc w:val="center"/>
                    <w:rPr>
                      <w:color w:val="auto"/>
                      <w:szCs w:val="21"/>
                    </w:rPr>
                  </w:pPr>
                  <w:r>
                    <w:rPr>
                      <w:rFonts w:hint="eastAsia"/>
                      <w:color w:val="auto"/>
                      <w:szCs w:val="21"/>
                    </w:rPr>
                    <w:t>一般地面硬化</w:t>
                  </w:r>
                </w:p>
              </w:tc>
            </w:tr>
          </w:tbl>
          <w:p>
            <w:pPr>
              <w:ind w:firstLine="480"/>
              <w:rPr>
                <w:color w:val="auto"/>
              </w:rPr>
            </w:pPr>
          </w:p>
          <w:p>
            <w:pPr>
              <w:pStyle w:val="4"/>
              <w:rPr>
                <w:color w:val="auto"/>
              </w:rPr>
            </w:pPr>
            <w:r>
              <w:rPr>
                <w:rFonts w:hint="eastAsia"/>
                <w:color w:val="auto"/>
              </w:rPr>
              <w:t>6环境保护距离</w:t>
            </w:r>
          </w:p>
          <w:p>
            <w:pPr>
              <w:ind w:firstLine="480"/>
              <w:rPr>
                <w:color w:val="auto"/>
              </w:rPr>
            </w:pPr>
            <w:r>
              <w:rPr>
                <w:rFonts w:hint="eastAsia"/>
                <w:color w:val="auto"/>
              </w:rPr>
              <w:t>根据“三线一单”区域空间布局约束要求：工业项目应符合园区规划产业类型和空间布局要求，落实相应的绿化、道路等隔离措施，并根据建设项目环评设置合理的环境防护距离。</w:t>
            </w:r>
          </w:p>
          <w:p>
            <w:pPr>
              <w:ind w:firstLine="480"/>
              <w:rPr>
                <w:color w:val="auto"/>
              </w:rPr>
            </w:pPr>
            <w:r>
              <w:rPr>
                <w:rFonts w:hint="eastAsia"/>
                <w:color w:val="auto"/>
              </w:rPr>
              <w:t>根据大气专项分析可知，预测大气</w:t>
            </w:r>
            <w:r>
              <w:rPr>
                <w:color w:val="auto"/>
              </w:rPr>
              <w:t>污染物最大</w:t>
            </w:r>
            <w:r>
              <w:rPr>
                <w:rFonts w:hint="eastAsia"/>
                <w:color w:val="auto"/>
              </w:rPr>
              <w:t>浓度</w:t>
            </w:r>
            <w:r>
              <w:rPr>
                <w:color w:val="auto"/>
              </w:rPr>
              <w:t>占标率为</w:t>
            </w:r>
            <w:r>
              <w:rPr>
                <w:rFonts w:hint="eastAsia"/>
                <w:color w:val="auto"/>
              </w:rPr>
              <w:t>2.49</w:t>
            </w:r>
            <w:r>
              <w:rPr>
                <w:color w:val="auto"/>
              </w:rPr>
              <w:t>%</w:t>
            </w:r>
            <w:r>
              <w:rPr>
                <w:rFonts w:hint="eastAsia"/>
                <w:color w:val="auto"/>
              </w:rPr>
              <w:t>，最大落地浓度距离为94m，项目不设大气防护距离，但项目排放苯并芘，为有毒有害物质，应设置合理的环境防护距离，为避免因有毒有害物质对敏感点的影响。项目生产的沥青作为公路建设材料，因此参照《公路环境保护设计规范》（JTG B04—2010）及本次评价中大气污染物、噪声影响范围设置环境保护距离，根据设计规范，沥青搅拌场站距环境敏感点的距离不宜小于300m，但是本项目采取处理效率较高的环保措施，且项目厂界西侧180m处已有科加村，因此项目建议设置180m的环境保护距离（详见附图8），保护距离范围内不能新建住宅、医院、养老院、学校等敏感目标。</w:t>
            </w:r>
          </w:p>
          <w:p>
            <w:pPr>
              <w:pStyle w:val="4"/>
              <w:rPr>
                <w:color w:val="auto"/>
              </w:rPr>
            </w:pPr>
            <w:r>
              <w:rPr>
                <w:rFonts w:hint="eastAsia"/>
                <w:color w:val="auto"/>
              </w:rPr>
              <w:t>7</w:t>
            </w:r>
            <w:r>
              <w:rPr>
                <w:color w:val="auto"/>
              </w:rPr>
              <w:t>环境风险</w:t>
            </w:r>
          </w:p>
          <w:p>
            <w:pPr>
              <w:snapToGrid w:val="0"/>
              <w:ind w:firstLine="480"/>
              <w:rPr>
                <w:color w:val="auto"/>
              </w:rPr>
            </w:pPr>
            <w:r>
              <w:rPr>
                <w:color w:val="auto"/>
              </w:rPr>
              <w:t>根据原国家环保部《关于进一步加强环境影响评价管理防范环境风险的通知》（国家环保部环发[2012]77号）及生态环境部发布的《建设项目环境风险评价技术导则》（HJ169-2018）要求，对于涉及有毒有害和易燃易爆物质的生产、使用、储存（包括使用管线输运）的建设项目进行风险评价。</w:t>
            </w:r>
          </w:p>
          <w:p>
            <w:pPr>
              <w:ind w:firstLine="562"/>
              <w:rPr>
                <w:b/>
                <w:bCs/>
                <w:color w:val="auto"/>
                <w:sz w:val="28"/>
                <w:szCs w:val="28"/>
              </w:rPr>
            </w:pPr>
            <w:r>
              <w:rPr>
                <w:rFonts w:hint="eastAsia"/>
                <w:b/>
                <w:bCs/>
                <w:color w:val="auto"/>
                <w:sz w:val="28"/>
                <w:szCs w:val="28"/>
              </w:rPr>
              <w:t>7.1</w:t>
            </w:r>
            <w:r>
              <w:rPr>
                <w:b/>
                <w:bCs/>
                <w:color w:val="auto"/>
                <w:sz w:val="28"/>
                <w:szCs w:val="28"/>
              </w:rPr>
              <w:t>Q</w:t>
            </w:r>
            <w:r>
              <w:rPr>
                <w:rFonts w:hint="eastAsia"/>
                <w:b/>
                <w:bCs/>
                <w:color w:val="auto"/>
                <w:sz w:val="28"/>
                <w:szCs w:val="28"/>
              </w:rPr>
              <w:t>值计算</w:t>
            </w:r>
          </w:p>
          <w:p>
            <w:pPr>
              <w:ind w:firstLine="480"/>
              <w:rPr>
                <w:color w:val="auto"/>
              </w:rPr>
            </w:pPr>
            <w:r>
              <w:rPr>
                <w:color w:val="auto"/>
              </w:rPr>
              <w:t>计算所涉及的每种危险物质在厂界内的最大存在总量与其在《建设项目环境风险评价技术导则》（HJ169-2018）附录B中对应临界量的比值Q。</w:t>
            </w:r>
          </w:p>
          <w:p>
            <w:pPr>
              <w:ind w:firstLine="480"/>
              <w:rPr>
                <w:color w:val="auto"/>
              </w:rPr>
            </w:pPr>
            <w:r>
              <w:rPr>
                <w:color w:val="auto"/>
              </w:rPr>
              <w:t>计算所涉及的每种危险物质在厂界内的最大存在总量与其附录B中对应的临界量比值Q。在不同厂区的同一种物质，按其在厂界内的最大存在总量计算。对于长输管线项目，按照两个截断阀室之间的管段危险物质最大存在总量计算。</w:t>
            </w:r>
          </w:p>
          <w:p>
            <w:pPr>
              <w:ind w:firstLine="480"/>
              <w:rPr>
                <w:color w:val="auto"/>
              </w:rPr>
            </w:pPr>
            <w:r>
              <w:rPr>
                <w:color w:val="auto"/>
              </w:rPr>
              <w:t>当只涉及一种危险物质时，计算物质的总量与其临界量比值，即Q；</w:t>
            </w:r>
          </w:p>
          <w:p>
            <w:pPr>
              <w:ind w:firstLine="480"/>
              <w:rPr>
                <w:color w:val="auto"/>
              </w:rPr>
            </w:pPr>
            <w:r>
              <w:rPr>
                <w:color w:val="auto"/>
              </w:rPr>
              <w:t>当存在多种危险物质时，则按下式计算物质总量与其临界量的比值（Q）；</w:t>
            </w:r>
          </w:p>
          <w:p>
            <w:pPr>
              <w:ind w:firstLine="480"/>
              <w:jc w:val="center"/>
              <w:rPr>
                <w:color w:val="auto"/>
              </w:rPr>
            </w:pPr>
            <w:r>
              <w:rPr>
                <w:color w:val="auto"/>
              </w:rPr>
              <w:t>Q=q1/Q1+q2/Q2+…qn/Qn</w:t>
            </w:r>
          </w:p>
          <w:p>
            <w:pPr>
              <w:ind w:firstLine="480"/>
              <w:rPr>
                <w:color w:val="auto"/>
              </w:rPr>
            </w:pPr>
            <w:r>
              <w:rPr>
                <w:color w:val="auto"/>
              </w:rPr>
              <w:t>式中：q1，q2，…，qn——每种危险物质的最大存在总量，t；</w:t>
            </w:r>
          </w:p>
          <w:p>
            <w:pPr>
              <w:ind w:firstLine="480"/>
              <w:rPr>
                <w:color w:val="auto"/>
              </w:rPr>
            </w:pPr>
            <w:r>
              <w:rPr>
                <w:color w:val="auto"/>
              </w:rPr>
              <w:t>Q1，Q2，…，Qn——每种危险物质的临界量，t；</w:t>
            </w:r>
          </w:p>
          <w:p>
            <w:pPr>
              <w:ind w:firstLine="480"/>
              <w:rPr>
                <w:color w:val="auto"/>
              </w:rPr>
            </w:pPr>
            <w:r>
              <w:rPr>
                <w:color w:val="auto"/>
              </w:rPr>
              <w:t>当Q＜1时，该项目环境风险潜势为Ⅰ。</w:t>
            </w:r>
          </w:p>
          <w:p>
            <w:pPr>
              <w:ind w:firstLine="480"/>
              <w:rPr>
                <w:color w:val="auto"/>
              </w:rPr>
            </w:pPr>
            <w:r>
              <w:rPr>
                <w:color w:val="auto"/>
              </w:rPr>
              <w:t>当Q≥1时，将Q值划分为：（1）1≤Q＜10；（2）10≤Q＜100；（3）Q≥100。</w:t>
            </w:r>
          </w:p>
          <w:p>
            <w:pPr>
              <w:ind w:firstLine="480"/>
              <w:rPr>
                <w:color w:val="auto"/>
              </w:rPr>
            </w:pPr>
            <w:r>
              <w:rPr>
                <w:rFonts w:hint="eastAsia"/>
                <w:color w:val="auto"/>
              </w:rPr>
              <w:t>对照《建设项目环境风险评价技术导则》（</w:t>
            </w:r>
            <w:r>
              <w:rPr>
                <w:color w:val="auto"/>
              </w:rPr>
              <w:t>HJ/T169-2018</w:t>
            </w:r>
            <w:r>
              <w:rPr>
                <w:rFonts w:hint="eastAsia"/>
                <w:color w:val="auto"/>
              </w:rPr>
              <w:t>）附录</w:t>
            </w:r>
            <w:r>
              <w:rPr>
                <w:color w:val="auto"/>
              </w:rPr>
              <w:t>B</w:t>
            </w:r>
            <w:r>
              <w:rPr>
                <w:rFonts w:hint="eastAsia"/>
                <w:color w:val="auto"/>
              </w:rPr>
              <w:t>，项目生产中涉及到的危险物质主要为柴油、重油、危险废物（废活性炭、废机油）、导热油。项目上述危废产生量总为0.130</w:t>
            </w:r>
            <w:r>
              <w:rPr>
                <w:color w:val="auto"/>
              </w:rPr>
              <w:t>t/a</w:t>
            </w:r>
            <w:r>
              <w:rPr>
                <w:rFonts w:hint="eastAsia"/>
                <w:color w:val="auto"/>
              </w:rPr>
              <w:t>，收集后厂内危废暂存间暂存，委托资质单位处理。</w:t>
            </w:r>
          </w:p>
          <w:p>
            <w:pPr>
              <w:widowControl/>
              <w:adjustRightInd w:val="0"/>
              <w:snapToGrid w:val="0"/>
              <w:ind w:firstLine="480"/>
              <w:rPr>
                <w:color w:val="auto"/>
              </w:rPr>
            </w:pPr>
            <w:r>
              <w:rPr>
                <w:color w:val="auto"/>
              </w:rPr>
              <w:t>项目涉及到的</w:t>
            </w:r>
            <w:r>
              <w:rPr>
                <w:rFonts w:hint="eastAsia"/>
                <w:color w:val="auto"/>
              </w:rPr>
              <w:t>风险物质见下表</w:t>
            </w:r>
            <w:r>
              <w:rPr>
                <w:color w:val="auto"/>
              </w:rPr>
              <w:t>。</w:t>
            </w:r>
          </w:p>
          <w:p>
            <w:pPr>
              <w:snapToGrid w:val="0"/>
              <w:ind w:firstLine="0" w:firstLineChars="0"/>
              <w:jc w:val="center"/>
              <w:rPr>
                <w:color w:val="auto"/>
              </w:rPr>
            </w:pPr>
            <w:r>
              <w:rPr>
                <w:color w:val="auto"/>
              </w:rPr>
              <w:t>表</w:t>
            </w:r>
            <w:r>
              <w:rPr>
                <w:rFonts w:hint="eastAsia"/>
                <w:color w:val="auto"/>
              </w:rPr>
              <w:t>4-15</w:t>
            </w:r>
            <w:r>
              <w:rPr>
                <w:color w:val="auto"/>
              </w:rPr>
              <w:t>项目储存系统风险识别</w:t>
            </w:r>
          </w:p>
          <w:tbl>
            <w:tblPr>
              <w:tblStyle w:val="31"/>
              <w:tblW w:w="7929" w:type="dxa"/>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431"/>
              <w:gridCol w:w="1683"/>
              <w:gridCol w:w="1543"/>
              <w:gridCol w:w="1272"/>
            </w:tblGrid>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163" w:type="pct"/>
                  <w:tcBorders>
                    <w:top w:val="single" w:color="auto" w:sz="4" w:space="0"/>
                    <w:left w:val="single" w:color="auto" w:sz="0" w:space="0"/>
                    <w:bottom w:val="single" w:color="auto" w:sz="4" w:space="0"/>
                    <w:right w:val="single" w:color="auto" w:sz="4" w:space="0"/>
                  </w:tcBorders>
                  <w:vAlign w:val="center"/>
                </w:tcPr>
                <w:p>
                  <w:pPr>
                    <w:adjustRightInd w:val="0"/>
                    <w:snapToGrid w:val="0"/>
                    <w:ind w:firstLine="0" w:firstLineChars="0"/>
                    <w:jc w:val="center"/>
                    <w:rPr>
                      <w:color w:val="auto"/>
                      <w:sz w:val="21"/>
                      <w:szCs w:val="21"/>
                    </w:rPr>
                  </w:pPr>
                  <w:r>
                    <w:rPr>
                      <w:color w:val="auto"/>
                      <w:sz w:val="21"/>
                      <w:szCs w:val="21"/>
                    </w:rPr>
                    <w:t>物料名称</w:t>
                  </w:r>
                </w:p>
              </w:tc>
              <w:tc>
                <w:tcPr>
                  <w:tcW w:w="1061"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color w:val="auto"/>
                      <w:sz w:val="21"/>
                      <w:szCs w:val="21"/>
                    </w:rPr>
                  </w:pPr>
                  <w:r>
                    <w:rPr>
                      <w:color w:val="auto"/>
                      <w:sz w:val="21"/>
                      <w:szCs w:val="21"/>
                    </w:rPr>
                    <w:t>贮存位置</w:t>
                  </w:r>
                </w:p>
              </w:tc>
              <w:tc>
                <w:tcPr>
                  <w:tcW w:w="973"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color w:val="auto"/>
                      <w:sz w:val="21"/>
                      <w:szCs w:val="21"/>
                    </w:rPr>
                  </w:pPr>
                  <w:r>
                    <w:rPr>
                      <w:color w:val="auto"/>
                      <w:sz w:val="21"/>
                      <w:szCs w:val="21"/>
                    </w:rPr>
                    <w:t>贮存设备</w:t>
                  </w:r>
                </w:p>
              </w:tc>
              <w:tc>
                <w:tcPr>
                  <w:tcW w:w="802"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rPr>
                      <w:color w:val="auto"/>
                      <w:sz w:val="21"/>
                      <w:szCs w:val="21"/>
                    </w:rPr>
                  </w:pPr>
                  <w:r>
                    <w:rPr>
                      <w:color w:val="auto"/>
                      <w:sz w:val="21"/>
                      <w:szCs w:val="21"/>
                    </w:rPr>
                    <w:t>最大贮存量</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163" w:type="pct"/>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color w:val="auto"/>
                      <w:sz w:val="21"/>
                      <w:szCs w:val="21"/>
                    </w:rPr>
                  </w:pPr>
                  <w:r>
                    <w:rPr>
                      <w:rFonts w:hint="eastAsia"/>
                      <w:color w:val="auto"/>
                      <w:sz w:val="21"/>
                      <w:szCs w:val="21"/>
                    </w:rPr>
                    <w:t>柴油</w:t>
                  </w:r>
                </w:p>
              </w:tc>
              <w:tc>
                <w:tcPr>
                  <w:tcW w:w="1061"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color w:val="auto"/>
                      <w:sz w:val="21"/>
                      <w:szCs w:val="21"/>
                    </w:rPr>
                  </w:pPr>
                  <w:r>
                    <w:rPr>
                      <w:color w:val="auto"/>
                      <w:sz w:val="21"/>
                      <w:szCs w:val="21"/>
                    </w:rPr>
                    <w:t>厂区</w:t>
                  </w:r>
                </w:p>
              </w:tc>
              <w:tc>
                <w:tcPr>
                  <w:tcW w:w="973"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color w:val="auto"/>
                      <w:sz w:val="21"/>
                      <w:szCs w:val="21"/>
                    </w:rPr>
                  </w:pPr>
                  <w:r>
                    <w:rPr>
                      <w:rFonts w:hint="eastAsia"/>
                      <w:color w:val="auto"/>
                      <w:sz w:val="21"/>
                      <w:szCs w:val="21"/>
                    </w:rPr>
                    <w:t>储罐</w:t>
                  </w:r>
                </w:p>
              </w:tc>
              <w:tc>
                <w:tcPr>
                  <w:tcW w:w="802"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color w:val="auto"/>
                      <w:sz w:val="21"/>
                      <w:szCs w:val="21"/>
                    </w:rPr>
                  </w:pPr>
                  <w:r>
                    <w:rPr>
                      <w:rFonts w:hint="eastAsia"/>
                      <w:color w:val="auto"/>
                      <w:sz w:val="21"/>
                      <w:szCs w:val="21"/>
                    </w:rPr>
                    <w:t>30</w:t>
                  </w:r>
                  <w:r>
                    <w:rPr>
                      <w:color w:val="auto"/>
                      <w:sz w:val="21"/>
                      <w:szCs w:val="21"/>
                    </w:rPr>
                    <w:t>t</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163" w:type="pct"/>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color w:val="auto"/>
                      <w:sz w:val="21"/>
                      <w:szCs w:val="21"/>
                    </w:rPr>
                  </w:pPr>
                  <w:r>
                    <w:rPr>
                      <w:rFonts w:hint="eastAsia"/>
                      <w:color w:val="auto"/>
                      <w:sz w:val="21"/>
                      <w:szCs w:val="21"/>
                    </w:rPr>
                    <w:t>重油</w:t>
                  </w:r>
                </w:p>
              </w:tc>
              <w:tc>
                <w:tcPr>
                  <w:tcW w:w="1061"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color w:val="auto"/>
                      <w:sz w:val="21"/>
                      <w:szCs w:val="21"/>
                    </w:rPr>
                  </w:pPr>
                  <w:r>
                    <w:rPr>
                      <w:color w:val="auto"/>
                      <w:sz w:val="21"/>
                      <w:szCs w:val="21"/>
                    </w:rPr>
                    <w:t>厂区</w:t>
                  </w:r>
                </w:p>
              </w:tc>
              <w:tc>
                <w:tcPr>
                  <w:tcW w:w="973"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color w:val="auto"/>
                      <w:sz w:val="21"/>
                      <w:szCs w:val="21"/>
                    </w:rPr>
                  </w:pPr>
                  <w:r>
                    <w:rPr>
                      <w:rFonts w:hint="eastAsia"/>
                      <w:color w:val="auto"/>
                      <w:sz w:val="21"/>
                      <w:szCs w:val="21"/>
                    </w:rPr>
                    <w:t>储罐</w:t>
                  </w:r>
                </w:p>
              </w:tc>
              <w:tc>
                <w:tcPr>
                  <w:tcW w:w="802"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color w:val="auto"/>
                      <w:sz w:val="21"/>
                      <w:szCs w:val="21"/>
                    </w:rPr>
                  </w:pPr>
                  <w:r>
                    <w:rPr>
                      <w:rFonts w:hint="eastAsia"/>
                      <w:color w:val="auto"/>
                      <w:sz w:val="21"/>
                      <w:szCs w:val="21"/>
                      <w:lang w:val="en-US" w:eastAsia="zh-CN"/>
                    </w:rPr>
                    <w:t>12</w:t>
                  </w:r>
                  <w:r>
                    <w:rPr>
                      <w:rFonts w:hint="eastAsia"/>
                      <w:color w:val="auto"/>
                      <w:sz w:val="21"/>
                      <w:szCs w:val="21"/>
                    </w:rPr>
                    <w:t>0</w:t>
                  </w:r>
                  <w:r>
                    <w:rPr>
                      <w:color w:val="auto"/>
                      <w:sz w:val="21"/>
                      <w:szCs w:val="21"/>
                    </w:rPr>
                    <w:t>t</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PrEx>
              <w:trPr>
                <w:cantSplit/>
                <w:jc w:val="center"/>
              </w:trPr>
              <w:tc>
                <w:tcPr>
                  <w:tcW w:w="2163" w:type="pct"/>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color w:val="auto"/>
                      <w:sz w:val="21"/>
                      <w:szCs w:val="21"/>
                    </w:rPr>
                  </w:pPr>
                  <w:r>
                    <w:rPr>
                      <w:rFonts w:hint="eastAsia"/>
                      <w:color w:val="auto"/>
                      <w:sz w:val="21"/>
                      <w:szCs w:val="21"/>
                    </w:rPr>
                    <w:t>导热油</w:t>
                  </w:r>
                </w:p>
              </w:tc>
              <w:tc>
                <w:tcPr>
                  <w:tcW w:w="1061"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color w:val="auto"/>
                      <w:sz w:val="21"/>
                      <w:szCs w:val="21"/>
                    </w:rPr>
                  </w:pPr>
                  <w:r>
                    <w:rPr>
                      <w:rFonts w:hint="eastAsia"/>
                      <w:color w:val="auto"/>
                      <w:sz w:val="21"/>
                      <w:szCs w:val="21"/>
                    </w:rPr>
                    <w:t>导热油炉系统</w:t>
                  </w:r>
                </w:p>
              </w:tc>
              <w:tc>
                <w:tcPr>
                  <w:tcW w:w="973"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color w:val="auto"/>
                      <w:sz w:val="21"/>
                      <w:szCs w:val="21"/>
                    </w:rPr>
                  </w:pPr>
                  <w:r>
                    <w:rPr>
                      <w:rFonts w:hint="eastAsia"/>
                      <w:color w:val="auto"/>
                      <w:sz w:val="21"/>
                      <w:szCs w:val="21"/>
                    </w:rPr>
                    <w:t>导热油炉系统</w:t>
                  </w:r>
                </w:p>
              </w:tc>
              <w:tc>
                <w:tcPr>
                  <w:tcW w:w="802"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color w:val="auto"/>
                      <w:sz w:val="21"/>
                      <w:szCs w:val="21"/>
                    </w:rPr>
                  </w:pPr>
                  <w:r>
                    <w:rPr>
                      <w:rFonts w:hint="eastAsia"/>
                      <w:color w:val="auto"/>
                      <w:sz w:val="21"/>
                      <w:szCs w:val="21"/>
                    </w:rPr>
                    <w:t>17</w:t>
                  </w:r>
                  <w:r>
                    <w:rPr>
                      <w:color w:val="auto"/>
                      <w:sz w:val="21"/>
                      <w:szCs w:val="21"/>
                    </w:rPr>
                    <w:t>t</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28" w:hRule="atLeast"/>
                <w:jc w:val="center"/>
              </w:trPr>
              <w:tc>
                <w:tcPr>
                  <w:tcW w:w="2163" w:type="pct"/>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color w:val="auto"/>
                      <w:sz w:val="21"/>
                      <w:szCs w:val="21"/>
                    </w:rPr>
                  </w:pPr>
                  <w:r>
                    <w:rPr>
                      <w:color w:val="auto"/>
                      <w:sz w:val="21"/>
                      <w:szCs w:val="21"/>
                    </w:rPr>
                    <w:t>废机油</w:t>
                  </w:r>
                </w:p>
              </w:tc>
              <w:tc>
                <w:tcPr>
                  <w:tcW w:w="1061"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color w:val="auto"/>
                      <w:sz w:val="21"/>
                      <w:szCs w:val="21"/>
                    </w:rPr>
                  </w:pPr>
                  <w:r>
                    <w:rPr>
                      <w:rFonts w:hint="eastAsia"/>
                      <w:color w:val="auto"/>
                      <w:sz w:val="21"/>
                      <w:szCs w:val="21"/>
                    </w:rPr>
                    <w:t>危废暂存间</w:t>
                  </w:r>
                </w:p>
              </w:tc>
              <w:tc>
                <w:tcPr>
                  <w:tcW w:w="973"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color w:val="auto"/>
                      <w:sz w:val="21"/>
                      <w:szCs w:val="21"/>
                    </w:rPr>
                  </w:pPr>
                  <w:r>
                    <w:rPr>
                      <w:rFonts w:hint="eastAsia"/>
                      <w:color w:val="auto"/>
                      <w:sz w:val="21"/>
                      <w:szCs w:val="21"/>
                    </w:rPr>
                    <w:t>危废暂存间</w:t>
                  </w:r>
                </w:p>
              </w:tc>
              <w:tc>
                <w:tcPr>
                  <w:tcW w:w="802"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color w:val="auto"/>
                      <w:sz w:val="21"/>
                      <w:szCs w:val="21"/>
                    </w:rPr>
                  </w:pPr>
                  <w:r>
                    <w:rPr>
                      <w:rFonts w:hint="eastAsia"/>
                      <w:color w:val="auto"/>
                      <w:sz w:val="21"/>
                      <w:szCs w:val="21"/>
                    </w:rPr>
                    <w:t>0.3</w:t>
                  </w:r>
                  <w:r>
                    <w:rPr>
                      <w:color w:val="auto"/>
                      <w:sz w:val="21"/>
                      <w:szCs w:val="21"/>
                    </w:rPr>
                    <w:t>t</w:t>
                  </w:r>
                </w:p>
              </w:tc>
            </w:tr>
          </w:tbl>
          <w:p>
            <w:pPr>
              <w:ind w:firstLine="0" w:firstLineChars="0"/>
              <w:rPr>
                <w:color w:val="auto"/>
              </w:rPr>
            </w:pPr>
          </w:p>
          <w:p>
            <w:pPr>
              <w:snapToGrid w:val="0"/>
              <w:ind w:firstLine="0" w:firstLineChars="0"/>
              <w:jc w:val="center"/>
              <w:rPr>
                <w:color w:val="auto"/>
              </w:rPr>
            </w:pPr>
            <w:r>
              <w:rPr>
                <w:color w:val="auto"/>
              </w:rPr>
              <w:t>表</w:t>
            </w:r>
            <w:r>
              <w:rPr>
                <w:rFonts w:hint="eastAsia"/>
                <w:color w:val="auto"/>
              </w:rPr>
              <w:t>4-16</w:t>
            </w:r>
            <w:r>
              <w:rPr>
                <w:color w:val="auto"/>
              </w:rPr>
              <w:t>本项目危险源一览表</w:t>
            </w:r>
          </w:p>
          <w:tbl>
            <w:tblPr>
              <w:tblStyle w:val="3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6"/>
              <w:gridCol w:w="2122"/>
              <w:gridCol w:w="2602"/>
              <w:gridCol w:w="1516"/>
              <w:gridCol w:w="108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389" w:type="pct"/>
                  <w:tcBorders>
                    <w:left w:val="single" w:color="auto" w:sz="0" w:space="0"/>
                  </w:tcBorders>
                  <w:vAlign w:val="center"/>
                </w:tcPr>
                <w:p>
                  <w:pPr>
                    <w:spacing w:line="240" w:lineRule="atLeast"/>
                    <w:ind w:firstLine="0" w:firstLineChars="0"/>
                    <w:jc w:val="center"/>
                    <w:rPr>
                      <w:color w:val="auto"/>
                      <w:sz w:val="21"/>
                      <w:szCs w:val="21"/>
                    </w:rPr>
                  </w:pPr>
                  <w:r>
                    <w:rPr>
                      <w:color w:val="auto"/>
                      <w:sz w:val="21"/>
                      <w:szCs w:val="21"/>
                    </w:rPr>
                    <w:t>序号</w:t>
                  </w:r>
                </w:p>
              </w:tc>
              <w:tc>
                <w:tcPr>
                  <w:tcW w:w="1344" w:type="pct"/>
                  <w:vAlign w:val="center"/>
                </w:tcPr>
                <w:p>
                  <w:pPr>
                    <w:spacing w:line="240" w:lineRule="atLeast"/>
                    <w:ind w:firstLine="0" w:firstLineChars="0"/>
                    <w:jc w:val="center"/>
                    <w:rPr>
                      <w:color w:val="auto"/>
                      <w:sz w:val="21"/>
                      <w:szCs w:val="21"/>
                    </w:rPr>
                  </w:pPr>
                  <w:r>
                    <w:rPr>
                      <w:color w:val="auto"/>
                      <w:sz w:val="21"/>
                      <w:szCs w:val="21"/>
                    </w:rPr>
                    <w:t>危险物质</w:t>
                  </w:r>
                </w:p>
              </w:tc>
              <w:tc>
                <w:tcPr>
                  <w:tcW w:w="1647" w:type="pct"/>
                  <w:vAlign w:val="center"/>
                </w:tcPr>
                <w:p>
                  <w:pPr>
                    <w:spacing w:line="240" w:lineRule="atLeast"/>
                    <w:ind w:firstLine="0" w:firstLineChars="0"/>
                    <w:jc w:val="center"/>
                    <w:rPr>
                      <w:color w:val="auto"/>
                      <w:sz w:val="21"/>
                      <w:szCs w:val="21"/>
                    </w:rPr>
                  </w:pPr>
                  <w:r>
                    <w:rPr>
                      <w:color w:val="auto"/>
                      <w:sz w:val="21"/>
                      <w:szCs w:val="21"/>
                    </w:rPr>
                    <w:t>生产场所</w:t>
                  </w:r>
                  <w:r>
                    <w:rPr>
                      <w:rFonts w:hint="eastAsia"/>
                      <w:color w:val="auto"/>
                      <w:sz w:val="21"/>
                      <w:szCs w:val="21"/>
                    </w:rPr>
                    <w:t>最大</w:t>
                  </w:r>
                  <w:r>
                    <w:rPr>
                      <w:color w:val="auto"/>
                      <w:sz w:val="21"/>
                      <w:szCs w:val="21"/>
                    </w:rPr>
                    <w:t>存在量（t）</w:t>
                  </w:r>
                </w:p>
              </w:tc>
              <w:tc>
                <w:tcPr>
                  <w:tcW w:w="962" w:type="pct"/>
                  <w:vAlign w:val="center"/>
                </w:tcPr>
                <w:p>
                  <w:pPr>
                    <w:spacing w:line="240" w:lineRule="atLeast"/>
                    <w:ind w:firstLine="0" w:firstLineChars="0"/>
                    <w:jc w:val="center"/>
                    <w:rPr>
                      <w:color w:val="auto"/>
                      <w:sz w:val="21"/>
                      <w:szCs w:val="21"/>
                    </w:rPr>
                  </w:pPr>
                  <w:r>
                    <w:rPr>
                      <w:color w:val="auto"/>
                      <w:sz w:val="21"/>
                      <w:szCs w:val="21"/>
                    </w:rPr>
                    <w:t>临界量（t）</w:t>
                  </w:r>
                </w:p>
              </w:tc>
              <w:tc>
                <w:tcPr>
                  <w:tcW w:w="656" w:type="pct"/>
                  <w:tcBorders>
                    <w:right w:val="single" w:color="auto" w:sz="4" w:space="0"/>
                  </w:tcBorders>
                  <w:vAlign w:val="center"/>
                </w:tcPr>
                <w:p>
                  <w:pPr>
                    <w:spacing w:line="240" w:lineRule="atLeast"/>
                    <w:ind w:firstLine="0" w:firstLineChars="0"/>
                    <w:jc w:val="center"/>
                    <w:rPr>
                      <w:color w:val="auto"/>
                      <w:sz w:val="21"/>
                      <w:szCs w:val="21"/>
                    </w:rPr>
                  </w:pPr>
                  <w:r>
                    <w:rPr>
                      <w:color w:val="auto"/>
                      <w:sz w:val="21"/>
                      <w:szCs w:val="21"/>
                    </w:rPr>
                    <w:t>q/Q</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389" w:type="pct"/>
                  <w:tcBorders>
                    <w:left w:val="single" w:color="auto" w:sz="4" w:space="0"/>
                  </w:tcBorders>
                  <w:vAlign w:val="center"/>
                </w:tcPr>
                <w:p>
                  <w:pPr>
                    <w:spacing w:line="240" w:lineRule="atLeast"/>
                    <w:ind w:firstLine="0" w:firstLineChars="0"/>
                    <w:jc w:val="center"/>
                    <w:rPr>
                      <w:color w:val="auto"/>
                      <w:sz w:val="21"/>
                      <w:szCs w:val="21"/>
                    </w:rPr>
                  </w:pPr>
                  <w:r>
                    <w:rPr>
                      <w:color w:val="auto"/>
                      <w:sz w:val="21"/>
                      <w:szCs w:val="21"/>
                    </w:rPr>
                    <w:t>1</w:t>
                  </w:r>
                </w:p>
              </w:tc>
              <w:tc>
                <w:tcPr>
                  <w:tcW w:w="1344" w:type="pct"/>
                  <w:vAlign w:val="center"/>
                </w:tcPr>
                <w:p>
                  <w:pPr>
                    <w:spacing w:line="240" w:lineRule="atLeast"/>
                    <w:ind w:firstLine="0" w:firstLineChars="0"/>
                    <w:jc w:val="center"/>
                    <w:rPr>
                      <w:color w:val="auto"/>
                      <w:sz w:val="21"/>
                      <w:szCs w:val="21"/>
                    </w:rPr>
                  </w:pPr>
                  <w:r>
                    <w:rPr>
                      <w:rFonts w:hint="eastAsia"/>
                      <w:color w:val="auto"/>
                      <w:sz w:val="21"/>
                      <w:szCs w:val="21"/>
                    </w:rPr>
                    <w:t>柴油</w:t>
                  </w:r>
                </w:p>
              </w:tc>
              <w:tc>
                <w:tcPr>
                  <w:tcW w:w="1647" w:type="pct"/>
                  <w:vAlign w:val="center"/>
                </w:tcPr>
                <w:p>
                  <w:pPr>
                    <w:spacing w:line="240" w:lineRule="atLeast"/>
                    <w:ind w:firstLine="0" w:firstLineChars="0"/>
                    <w:jc w:val="center"/>
                    <w:rPr>
                      <w:color w:val="auto"/>
                      <w:sz w:val="21"/>
                      <w:szCs w:val="21"/>
                    </w:rPr>
                  </w:pPr>
                  <w:r>
                    <w:rPr>
                      <w:rFonts w:hint="eastAsia"/>
                      <w:color w:val="auto"/>
                      <w:sz w:val="21"/>
                      <w:szCs w:val="21"/>
                    </w:rPr>
                    <w:t>30</w:t>
                  </w:r>
                </w:p>
              </w:tc>
              <w:tc>
                <w:tcPr>
                  <w:tcW w:w="962" w:type="pct"/>
                  <w:vAlign w:val="center"/>
                </w:tcPr>
                <w:p>
                  <w:pPr>
                    <w:spacing w:line="240" w:lineRule="atLeast"/>
                    <w:ind w:firstLine="0" w:firstLineChars="0"/>
                    <w:jc w:val="center"/>
                    <w:rPr>
                      <w:color w:val="auto"/>
                      <w:sz w:val="21"/>
                      <w:szCs w:val="21"/>
                    </w:rPr>
                  </w:pPr>
                  <w:r>
                    <w:rPr>
                      <w:rFonts w:hint="eastAsia"/>
                      <w:color w:val="auto"/>
                      <w:sz w:val="21"/>
                      <w:szCs w:val="21"/>
                    </w:rPr>
                    <w:t>2500</w:t>
                  </w:r>
                </w:p>
              </w:tc>
              <w:tc>
                <w:tcPr>
                  <w:tcW w:w="656" w:type="pct"/>
                  <w:tcBorders>
                    <w:right w:val="single" w:color="auto" w:sz="4" w:space="0"/>
                  </w:tcBorders>
                  <w:vAlign w:val="center"/>
                </w:tcPr>
                <w:p>
                  <w:pPr>
                    <w:spacing w:line="240" w:lineRule="atLeast"/>
                    <w:ind w:firstLine="0" w:firstLineChars="0"/>
                    <w:jc w:val="center"/>
                    <w:rPr>
                      <w:color w:val="auto"/>
                      <w:sz w:val="21"/>
                      <w:szCs w:val="21"/>
                    </w:rPr>
                  </w:pPr>
                  <w:r>
                    <w:rPr>
                      <w:color w:val="auto"/>
                      <w:sz w:val="21"/>
                      <w:szCs w:val="21"/>
                    </w:rPr>
                    <w:t>0.0</w:t>
                  </w:r>
                  <w:r>
                    <w:rPr>
                      <w:rFonts w:hint="eastAsia"/>
                      <w:color w:val="auto"/>
                      <w:sz w:val="21"/>
                      <w:szCs w:val="21"/>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389" w:type="pct"/>
                  <w:tcBorders>
                    <w:left w:val="single" w:color="auto" w:sz="4" w:space="0"/>
                  </w:tcBorders>
                  <w:vAlign w:val="center"/>
                </w:tcPr>
                <w:p>
                  <w:pPr>
                    <w:spacing w:line="240" w:lineRule="atLeast"/>
                    <w:ind w:firstLine="0" w:firstLineChars="0"/>
                    <w:jc w:val="center"/>
                    <w:rPr>
                      <w:color w:val="auto"/>
                      <w:sz w:val="21"/>
                      <w:szCs w:val="21"/>
                    </w:rPr>
                  </w:pPr>
                  <w:r>
                    <w:rPr>
                      <w:rFonts w:hint="eastAsia"/>
                      <w:color w:val="auto"/>
                      <w:sz w:val="21"/>
                      <w:szCs w:val="21"/>
                    </w:rPr>
                    <w:t>2</w:t>
                  </w:r>
                </w:p>
              </w:tc>
              <w:tc>
                <w:tcPr>
                  <w:tcW w:w="1344" w:type="pct"/>
                  <w:vAlign w:val="center"/>
                </w:tcPr>
                <w:p>
                  <w:pPr>
                    <w:spacing w:line="240" w:lineRule="atLeast"/>
                    <w:ind w:firstLine="0" w:firstLineChars="0"/>
                    <w:jc w:val="center"/>
                    <w:rPr>
                      <w:color w:val="auto"/>
                      <w:sz w:val="21"/>
                      <w:szCs w:val="21"/>
                    </w:rPr>
                  </w:pPr>
                  <w:r>
                    <w:rPr>
                      <w:rFonts w:hint="eastAsia"/>
                      <w:color w:val="auto"/>
                      <w:sz w:val="21"/>
                      <w:szCs w:val="21"/>
                    </w:rPr>
                    <w:t>导热油</w:t>
                  </w:r>
                </w:p>
              </w:tc>
              <w:tc>
                <w:tcPr>
                  <w:tcW w:w="1647" w:type="pct"/>
                  <w:vAlign w:val="center"/>
                </w:tcPr>
                <w:p>
                  <w:pPr>
                    <w:spacing w:line="240" w:lineRule="atLeast"/>
                    <w:ind w:firstLine="0" w:firstLineChars="0"/>
                    <w:jc w:val="center"/>
                    <w:rPr>
                      <w:color w:val="auto"/>
                      <w:sz w:val="21"/>
                      <w:szCs w:val="21"/>
                    </w:rPr>
                  </w:pPr>
                  <w:r>
                    <w:rPr>
                      <w:rFonts w:hint="eastAsia"/>
                      <w:color w:val="auto"/>
                      <w:sz w:val="21"/>
                      <w:szCs w:val="21"/>
                    </w:rPr>
                    <w:t>17</w:t>
                  </w:r>
                </w:p>
              </w:tc>
              <w:tc>
                <w:tcPr>
                  <w:tcW w:w="962" w:type="pct"/>
                  <w:vAlign w:val="center"/>
                </w:tcPr>
                <w:p>
                  <w:pPr>
                    <w:spacing w:line="240" w:lineRule="atLeast"/>
                    <w:ind w:firstLine="0" w:firstLineChars="0"/>
                    <w:jc w:val="center"/>
                    <w:rPr>
                      <w:color w:val="auto"/>
                      <w:sz w:val="21"/>
                      <w:szCs w:val="21"/>
                    </w:rPr>
                  </w:pPr>
                  <w:r>
                    <w:rPr>
                      <w:rFonts w:hint="eastAsia"/>
                      <w:color w:val="auto"/>
                      <w:sz w:val="21"/>
                      <w:szCs w:val="21"/>
                    </w:rPr>
                    <w:t>2500</w:t>
                  </w:r>
                </w:p>
              </w:tc>
              <w:tc>
                <w:tcPr>
                  <w:tcW w:w="656" w:type="pct"/>
                  <w:tcBorders>
                    <w:right w:val="single" w:color="auto" w:sz="4" w:space="0"/>
                  </w:tcBorders>
                  <w:vAlign w:val="center"/>
                </w:tcPr>
                <w:p>
                  <w:pPr>
                    <w:spacing w:line="240" w:lineRule="atLeast"/>
                    <w:ind w:firstLine="0" w:firstLineChars="0"/>
                    <w:jc w:val="center"/>
                    <w:rPr>
                      <w:color w:val="auto"/>
                      <w:sz w:val="21"/>
                      <w:szCs w:val="21"/>
                    </w:rPr>
                  </w:pPr>
                  <w:r>
                    <w:rPr>
                      <w:rFonts w:hint="eastAsia"/>
                      <w:color w:val="auto"/>
                      <w:sz w:val="21"/>
                      <w:szCs w:val="21"/>
                    </w:rPr>
                    <w:t>0.0068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389" w:type="pct"/>
                  <w:tcBorders>
                    <w:left w:val="single" w:color="auto" w:sz="4" w:space="0"/>
                  </w:tcBorders>
                  <w:vAlign w:val="center"/>
                </w:tcPr>
                <w:p>
                  <w:pPr>
                    <w:spacing w:line="240" w:lineRule="atLeast"/>
                    <w:ind w:firstLine="0" w:firstLineChars="0"/>
                    <w:jc w:val="center"/>
                    <w:rPr>
                      <w:color w:val="auto"/>
                      <w:sz w:val="21"/>
                      <w:szCs w:val="21"/>
                    </w:rPr>
                  </w:pPr>
                  <w:r>
                    <w:rPr>
                      <w:rFonts w:hint="eastAsia"/>
                      <w:color w:val="auto"/>
                      <w:sz w:val="21"/>
                      <w:szCs w:val="21"/>
                    </w:rPr>
                    <w:t>3</w:t>
                  </w:r>
                </w:p>
              </w:tc>
              <w:tc>
                <w:tcPr>
                  <w:tcW w:w="1344" w:type="pct"/>
                  <w:vAlign w:val="center"/>
                </w:tcPr>
                <w:p>
                  <w:pPr>
                    <w:spacing w:line="240" w:lineRule="atLeast"/>
                    <w:ind w:firstLine="0" w:firstLineChars="0"/>
                    <w:jc w:val="center"/>
                    <w:rPr>
                      <w:color w:val="auto"/>
                      <w:sz w:val="21"/>
                      <w:szCs w:val="21"/>
                    </w:rPr>
                  </w:pPr>
                  <w:r>
                    <w:rPr>
                      <w:color w:val="auto"/>
                      <w:sz w:val="21"/>
                      <w:szCs w:val="21"/>
                    </w:rPr>
                    <w:t>废机油</w:t>
                  </w:r>
                </w:p>
              </w:tc>
              <w:tc>
                <w:tcPr>
                  <w:tcW w:w="1647" w:type="pct"/>
                  <w:vAlign w:val="center"/>
                </w:tcPr>
                <w:p>
                  <w:pPr>
                    <w:spacing w:line="240" w:lineRule="atLeast"/>
                    <w:ind w:firstLine="0" w:firstLineChars="0"/>
                    <w:jc w:val="center"/>
                    <w:rPr>
                      <w:color w:val="auto"/>
                      <w:sz w:val="21"/>
                      <w:szCs w:val="21"/>
                    </w:rPr>
                  </w:pPr>
                  <w:r>
                    <w:rPr>
                      <w:rFonts w:hint="eastAsia"/>
                      <w:color w:val="auto"/>
                      <w:sz w:val="21"/>
                      <w:szCs w:val="21"/>
                    </w:rPr>
                    <w:t>0.3</w:t>
                  </w:r>
                </w:p>
              </w:tc>
              <w:tc>
                <w:tcPr>
                  <w:tcW w:w="962" w:type="pct"/>
                  <w:vAlign w:val="center"/>
                </w:tcPr>
                <w:p>
                  <w:pPr>
                    <w:spacing w:line="240" w:lineRule="atLeast"/>
                    <w:ind w:firstLine="0" w:firstLineChars="0"/>
                    <w:jc w:val="center"/>
                    <w:rPr>
                      <w:color w:val="auto"/>
                      <w:sz w:val="21"/>
                      <w:szCs w:val="21"/>
                    </w:rPr>
                  </w:pPr>
                  <w:r>
                    <w:rPr>
                      <w:rFonts w:hint="eastAsia"/>
                      <w:color w:val="auto"/>
                      <w:sz w:val="21"/>
                      <w:szCs w:val="21"/>
                    </w:rPr>
                    <w:t>2500</w:t>
                  </w:r>
                </w:p>
              </w:tc>
              <w:tc>
                <w:tcPr>
                  <w:tcW w:w="656" w:type="pct"/>
                  <w:tcBorders>
                    <w:right w:val="single" w:color="auto" w:sz="4" w:space="0"/>
                  </w:tcBorders>
                  <w:vAlign w:val="center"/>
                </w:tcPr>
                <w:p>
                  <w:pPr>
                    <w:spacing w:line="240" w:lineRule="atLeast"/>
                    <w:ind w:firstLine="0" w:firstLineChars="0"/>
                    <w:jc w:val="center"/>
                    <w:rPr>
                      <w:color w:val="auto"/>
                      <w:sz w:val="21"/>
                      <w:szCs w:val="21"/>
                    </w:rPr>
                  </w:pPr>
                  <w:r>
                    <w:rPr>
                      <w:rFonts w:hint="eastAsia"/>
                      <w:color w:val="auto"/>
                      <w:sz w:val="21"/>
                      <w:szCs w:val="21"/>
                    </w:rPr>
                    <w:t>0.00012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389" w:type="pct"/>
                  <w:tcBorders>
                    <w:left w:val="single" w:color="auto" w:sz="4" w:space="0"/>
                  </w:tcBorders>
                  <w:vAlign w:val="center"/>
                </w:tcPr>
                <w:p>
                  <w:pPr>
                    <w:spacing w:line="240" w:lineRule="atLeast"/>
                    <w:ind w:firstLine="0" w:firstLineChars="0"/>
                    <w:jc w:val="center"/>
                    <w:rPr>
                      <w:color w:val="auto"/>
                      <w:sz w:val="21"/>
                      <w:szCs w:val="21"/>
                    </w:rPr>
                  </w:pPr>
                  <w:r>
                    <w:rPr>
                      <w:rFonts w:hint="eastAsia"/>
                      <w:color w:val="auto"/>
                      <w:sz w:val="21"/>
                      <w:szCs w:val="21"/>
                    </w:rPr>
                    <w:t>4</w:t>
                  </w:r>
                </w:p>
              </w:tc>
              <w:tc>
                <w:tcPr>
                  <w:tcW w:w="1344" w:type="pct"/>
                  <w:vAlign w:val="center"/>
                </w:tcPr>
                <w:p>
                  <w:pPr>
                    <w:spacing w:line="240" w:lineRule="atLeast"/>
                    <w:ind w:firstLine="0" w:firstLineChars="0"/>
                    <w:jc w:val="center"/>
                    <w:rPr>
                      <w:color w:val="auto"/>
                      <w:sz w:val="21"/>
                      <w:szCs w:val="21"/>
                    </w:rPr>
                  </w:pPr>
                  <w:r>
                    <w:rPr>
                      <w:rFonts w:hint="eastAsia"/>
                      <w:color w:val="auto"/>
                      <w:sz w:val="21"/>
                      <w:szCs w:val="21"/>
                    </w:rPr>
                    <w:t>重油</w:t>
                  </w:r>
                </w:p>
              </w:tc>
              <w:tc>
                <w:tcPr>
                  <w:tcW w:w="1647" w:type="pct"/>
                  <w:vAlign w:val="center"/>
                </w:tcPr>
                <w:p>
                  <w:pPr>
                    <w:spacing w:line="240" w:lineRule="atLeast"/>
                    <w:ind w:firstLine="0" w:firstLineChars="0"/>
                    <w:jc w:val="center"/>
                    <w:rPr>
                      <w:color w:val="auto"/>
                      <w:sz w:val="21"/>
                      <w:szCs w:val="21"/>
                    </w:rPr>
                  </w:pPr>
                  <w:r>
                    <w:rPr>
                      <w:rFonts w:hint="eastAsia"/>
                      <w:color w:val="auto"/>
                      <w:sz w:val="21"/>
                      <w:szCs w:val="21"/>
                    </w:rPr>
                    <w:t>120</w:t>
                  </w:r>
                </w:p>
              </w:tc>
              <w:tc>
                <w:tcPr>
                  <w:tcW w:w="962" w:type="pct"/>
                  <w:vAlign w:val="center"/>
                </w:tcPr>
                <w:p>
                  <w:pPr>
                    <w:spacing w:line="240" w:lineRule="atLeast"/>
                    <w:ind w:firstLine="0" w:firstLineChars="0"/>
                    <w:jc w:val="center"/>
                    <w:rPr>
                      <w:color w:val="auto"/>
                      <w:sz w:val="21"/>
                      <w:szCs w:val="21"/>
                    </w:rPr>
                  </w:pPr>
                  <w:r>
                    <w:rPr>
                      <w:rFonts w:hint="eastAsia"/>
                      <w:color w:val="auto"/>
                      <w:sz w:val="21"/>
                      <w:szCs w:val="21"/>
                    </w:rPr>
                    <w:t>2500</w:t>
                  </w:r>
                </w:p>
              </w:tc>
              <w:tc>
                <w:tcPr>
                  <w:tcW w:w="656" w:type="pct"/>
                  <w:tcBorders>
                    <w:right w:val="single" w:color="auto" w:sz="4" w:space="0"/>
                  </w:tcBorders>
                  <w:vAlign w:val="center"/>
                </w:tcPr>
                <w:p>
                  <w:pPr>
                    <w:spacing w:line="240" w:lineRule="atLeast"/>
                    <w:ind w:firstLine="0" w:firstLineChars="0"/>
                    <w:jc w:val="center"/>
                    <w:rPr>
                      <w:color w:val="auto"/>
                      <w:sz w:val="21"/>
                      <w:szCs w:val="21"/>
                    </w:rPr>
                  </w:pPr>
                  <w:r>
                    <w:rPr>
                      <w:rFonts w:hint="eastAsia"/>
                      <w:color w:val="auto"/>
                      <w:sz w:val="21"/>
                      <w:szCs w:val="21"/>
                    </w:rPr>
                    <w:t>0.048</w:t>
                  </w:r>
                </w:p>
              </w:tc>
            </w:tr>
          </w:tbl>
          <w:p>
            <w:pPr>
              <w:ind w:firstLine="480"/>
              <w:rPr>
                <w:color w:val="auto"/>
              </w:rPr>
            </w:pPr>
          </w:p>
          <w:p>
            <w:pPr>
              <w:ind w:firstLine="480"/>
              <w:rPr>
                <w:color w:val="auto"/>
              </w:rPr>
            </w:pPr>
            <w:r>
              <w:rPr>
                <w:color w:val="auto"/>
              </w:rPr>
              <w:t>根据上表可知，本项目Q=0.</w:t>
            </w:r>
            <w:r>
              <w:rPr>
                <w:rFonts w:hint="eastAsia"/>
                <w:color w:val="auto"/>
              </w:rPr>
              <w:t>0669</w:t>
            </w:r>
            <w:r>
              <w:rPr>
                <w:color w:val="auto"/>
              </w:rPr>
              <w:t>＜1，环境风险潜势为Ⅰ类。项目环境评价工作等级为简要分析即可。</w:t>
            </w:r>
          </w:p>
          <w:p>
            <w:pPr>
              <w:ind w:firstLine="562"/>
              <w:rPr>
                <w:b/>
                <w:bCs/>
                <w:color w:val="auto"/>
                <w:sz w:val="28"/>
                <w:szCs w:val="28"/>
              </w:rPr>
            </w:pPr>
            <w:r>
              <w:rPr>
                <w:rFonts w:hint="eastAsia"/>
                <w:b/>
                <w:bCs/>
                <w:color w:val="auto"/>
                <w:sz w:val="28"/>
                <w:szCs w:val="28"/>
              </w:rPr>
              <w:t>7.2</w:t>
            </w:r>
            <w:r>
              <w:rPr>
                <w:b/>
                <w:bCs/>
                <w:color w:val="auto"/>
                <w:sz w:val="28"/>
                <w:szCs w:val="28"/>
              </w:rPr>
              <w:t>环境风险识别</w:t>
            </w:r>
          </w:p>
          <w:p>
            <w:pPr>
              <w:adjustRightInd w:val="0"/>
              <w:snapToGrid w:val="0"/>
              <w:ind w:firstLine="480"/>
              <w:rPr>
                <w:color w:val="auto"/>
              </w:rPr>
            </w:pPr>
            <w:r>
              <w:rPr>
                <w:color w:val="auto"/>
              </w:rPr>
              <w:t>风险识别范围包括生产设施风险识别和生产过程所涉及的物质风险识别。</w:t>
            </w:r>
          </w:p>
          <w:p>
            <w:pPr>
              <w:adjustRightInd w:val="0"/>
              <w:snapToGrid w:val="0"/>
              <w:ind w:firstLine="480"/>
              <w:rPr>
                <w:color w:val="auto"/>
              </w:rPr>
            </w:pPr>
            <w:r>
              <w:rPr>
                <w:color w:val="auto"/>
              </w:rPr>
              <w:t>物质风险识别范围：主要原材料及辅助材料、燃料、产品以及生产过程排放的“三废”污染物等；</w:t>
            </w:r>
          </w:p>
          <w:p>
            <w:pPr>
              <w:adjustRightInd w:val="0"/>
              <w:snapToGrid w:val="0"/>
              <w:ind w:firstLine="480"/>
              <w:rPr>
                <w:color w:val="auto"/>
              </w:rPr>
            </w:pPr>
            <w:r>
              <w:rPr>
                <w:color w:val="auto"/>
              </w:rPr>
              <w:t>生产设施风险识别范围：主要生产装置、贮运系统、公用工程系统、工程环保设施及辅助生产设施等；</w:t>
            </w:r>
          </w:p>
          <w:p>
            <w:pPr>
              <w:adjustRightInd w:val="0"/>
              <w:snapToGrid w:val="0"/>
              <w:ind w:firstLine="480"/>
              <w:rPr>
                <w:color w:val="auto"/>
              </w:rPr>
            </w:pPr>
            <w:r>
              <w:rPr>
                <w:color w:val="auto"/>
              </w:rPr>
              <w:t>风险类型：根据有毒有害物质放散起因，分为火灾、爆炸和泄漏三种类型。</w:t>
            </w:r>
          </w:p>
          <w:p>
            <w:pPr>
              <w:adjustRightInd w:val="0"/>
              <w:snapToGrid w:val="0"/>
              <w:ind w:firstLine="480"/>
              <w:rPr>
                <w:color w:val="auto"/>
              </w:rPr>
            </w:pPr>
            <w:r>
              <w:rPr>
                <w:color w:val="auto"/>
              </w:rPr>
              <w:t>主要物料风险识别范围</w:t>
            </w:r>
          </w:p>
          <w:p>
            <w:pPr>
              <w:adjustRightInd w:val="0"/>
              <w:snapToGrid w:val="0"/>
              <w:ind w:firstLine="480"/>
              <w:rPr>
                <w:color w:val="auto"/>
              </w:rPr>
            </w:pPr>
            <w:r>
              <w:rPr>
                <w:color w:val="auto"/>
              </w:rPr>
              <w:t>主要物料风险识别范围包括：主要原材料及辅助材料、燃料、中间产品、最终产品及生产过程中排放的“三废”污染物等。</w:t>
            </w:r>
          </w:p>
          <w:p>
            <w:pPr>
              <w:ind w:firstLine="480"/>
              <w:rPr>
                <w:color w:val="auto"/>
              </w:rPr>
            </w:pPr>
            <w:r>
              <w:rPr>
                <w:rFonts w:hint="eastAsia"/>
                <w:color w:val="auto"/>
              </w:rPr>
              <w:t>（1）重油及柴油泄漏，遇明火将会引发火灾，发生次生灾害，火灾燃烧时产生的烟气为伴生污染物，散发出大量的浓烟、CO 和 SO2 等有毒有害气体，对火场周围人员的生命安全和周围的大气环境质量造成污染和破坏。火灾事故严重而措施不当时，可能引起爆炸等连锁效应。</w:t>
            </w:r>
          </w:p>
          <w:p>
            <w:pPr>
              <w:ind w:firstLine="480"/>
              <w:rPr>
                <w:color w:val="auto"/>
              </w:rPr>
            </w:pPr>
            <w:r>
              <w:rPr>
                <w:rFonts w:hint="eastAsia"/>
                <w:color w:val="auto"/>
              </w:rPr>
              <w:t>（2）废气治理措施失效导致粉尘直接排放，污染大气周边环境。</w:t>
            </w:r>
          </w:p>
          <w:p>
            <w:pPr>
              <w:ind w:firstLine="480"/>
              <w:rPr>
                <w:color w:val="auto"/>
              </w:rPr>
            </w:pPr>
            <w:r>
              <w:rPr>
                <w:rFonts w:hint="eastAsia"/>
                <w:color w:val="auto"/>
              </w:rPr>
              <w:t>（3）重油及柴油属于易燃易爆液态物质，主要风险影响途径为：泄漏遇热源和明火有燃烧的危险。伴生的废气会通过大气扩散对项目周围环境造成危害；伴生的消防废水会对周围水环境造成危害。</w:t>
            </w:r>
          </w:p>
          <w:p>
            <w:pPr>
              <w:ind w:firstLine="562"/>
              <w:rPr>
                <w:b/>
                <w:bCs/>
                <w:color w:val="auto"/>
                <w:sz w:val="28"/>
                <w:szCs w:val="28"/>
              </w:rPr>
            </w:pPr>
            <w:r>
              <w:rPr>
                <w:rFonts w:hint="eastAsia"/>
                <w:b/>
                <w:bCs/>
                <w:color w:val="auto"/>
                <w:sz w:val="28"/>
                <w:szCs w:val="28"/>
              </w:rPr>
              <w:t>7.3影响分析</w:t>
            </w:r>
          </w:p>
          <w:p>
            <w:pPr>
              <w:ind w:firstLine="480"/>
              <w:rPr>
                <w:color w:val="auto"/>
              </w:rPr>
            </w:pPr>
            <w:r>
              <w:rPr>
                <w:rFonts w:hint="eastAsia"/>
                <w:color w:val="auto"/>
              </w:rPr>
              <w:t>环境风险分析如下：</w:t>
            </w:r>
          </w:p>
          <w:p>
            <w:pPr>
              <w:pStyle w:val="40"/>
              <w:numPr>
                <w:ilvl w:val="0"/>
                <w:numId w:val="10"/>
              </w:numPr>
              <w:ind w:firstLine="480"/>
              <w:rPr>
                <w:rFonts w:hint="eastAsia"/>
                <w:color w:val="auto"/>
              </w:rPr>
            </w:pPr>
            <w:r>
              <w:rPr>
                <w:rFonts w:hint="eastAsia"/>
                <w:color w:val="auto"/>
              </w:rPr>
              <w:t>本项目涉及导热油、柴油、重油、废机油、沥青等危险物质，因此项目最大的风险是发生上述危险物质遇明火发生火灾产生有毒烟气。</w:t>
            </w:r>
          </w:p>
          <w:p>
            <w:pPr>
              <w:ind w:firstLine="480"/>
              <w:rPr>
                <w:color w:val="auto"/>
              </w:rPr>
            </w:pPr>
            <w:r>
              <w:rPr>
                <w:color w:val="auto"/>
              </w:rPr>
              <w:t>根据本项目特点，罐区内涉及火灾爆炸事故的危险物质</w:t>
            </w:r>
            <w:r>
              <w:rPr>
                <w:rFonts w:hint="eastAsia"/>
                <w:color w:val="auto"/>
              </w:rPr>
              <w:t>为沥青</w:t>
            </w:r>
            <w:r>
              <w:rPr>
                <w:color w:val="auto"/>
              </w:rPr>
              <w:t>，根据《建设项目环境风险评价技术导则》(HJ/T169-2018)中附录F.4火灾爆炸事故有毒有害物质释放比例表</w:t>
            </w:r>
            <w:r>
              <w:rPr>
                <w:rFonts w:hint="eastAsia"/>
                <w:color w:val="auto"/>
              </w:rPr>
              <w:t>查出火灾爆炸事故有毒有害物质释放比例为0</w:t>
            </w:r>
            <w:r>
              <w:rPr>
                <w:color w:val="auto"/>
              </w:rPr>
              <w:t>。</w:t>
            </w:r>
            <w:r>
              <w:rPr>
                <w:rFonts w:hint="eastAsia"/>
                <w:color w:val="auto"/>
              </w:rPr>
              <w:t>因此沥青遇明火发生火灾，在不完全燃烧的状态下会产生大量一氧化碳产生 CO 等有毒烟气，高浓度废气可引起急性中毒。若是未妥善处置消防废水，事故中的有毒有害物质会随消防废水漫流，造成周边土壤及地下水污染。</w:t>
            </w:r>
          </w:p>
          <w:p>
            <w:pPr>
              <w:ind w:firstLine="480"/>
              <w:rPr>
                <w:color w:val="auto"/>
              </w:rPr>
            </w:pPr>
            <w:r>
              <w:rPr>
                <w:rFonts w:hint="eastAsia"/>
                <w:color w:val="auto"/>
              </w:rPr>
              <w:t>（2）沥青罐区导热油、柴油、重油、沥青泄漏直接污染水体和土壤。</w:t>
            </w:r>
          </w:p>
          <w:p>
            <w:pPr>
              <w:ind w:firstLine="562"/>
              <w:rPr>
                <w:b/>
                <w:bCs/>
                <w:color w:val="auto"/>
                <w:sz w:val="28"/>
                <w:szCs w:val="28"/>
              </w:rPr>
            </w:pPr>
            <w:r>
              <w:rPr>
                <w:rFonts w:hint="eastAsia"/>
                <w:b/>
                <w:bCs/>
                <w:color w:val="auto"/>
                <w:sz w:val="28"/>
                <w:szCs w:val="28"/>
              </w:rPr>
              <w:t>7.4环境风险防范措施</w:t>
            </w:r>
          </w:p>
          <w:p>
            <w:pPr>
              <w:ind w:firstLine="482"/>
              <w:rPr>
                <w:b/>
                <w:bCs/>
                <w:color w:val="auto"/>
              </w:rPr>
            </w:pPr>
            <w:r>
              <w:rPr>
                <w:rFonts w:hint="eastAsia"/>
                <w:b/>
                <w:bCs/>
                <w:color w:val="auto"/>
              </w:rPr>
              <w:t>7.4.1大气环境风险防范措施</w:t>
            </w:r>
          </w:p>
          <w:p>
            <w:pPr>
              <w:ind w:firstLine="480"/>
              <w:rPr>
                <w:color w:val="auto"/>
              </w:rPr>
            </w:pPr>
            <w:r>
              <w:rPr>
                <w:rFonts w:hint="eastAsia"/>
                <w:color w:val="auto"/>
              </w:rPr>
              <w:t>（1）在平面布置上充分考虑罐区内外的安全防护距离，各类建筑物、构筑物之间的防火间距、储罐与储罐之间的防火间距、罐区与库外建筑物之间的防火间距等均应满足规范要求，并应设置应急救援设施及救援通道、应急疏散及避难所，以利于安全生产。</w:t>
            </w:r>
          </w:p>
          <w:p>
            <w:pPr>
              <w:ind w:firstLine="480"/>
              <w:rPr>
                <w:color w:val="auto"/>
              </w:rPr>
            </w:pPr>
            <w:r>
              <w:rPr>
                <w:rFonts w:hint="eastAsia"/>
                <w:color w:val="auto"/>
              </w:rPr>
              <w:t>（2）在罐区装卸区等易积聚易燃易爆气体的场所，设置可燃气体检测器，并在控制室设置火灾报警器、可燃气体报警器；</w:t>
            </w:r>
          </w:p>
          <w:p>
            <w:pPr>
              <w:ind w:firstLine="480"/>
              <w:rPr>
                <w:color w:val="auto"/>
              </w:rPr>
            </w:pPr>
            <w:r>
              <w:rPr>
                <w:rFonts w:hint="eastAsia"/>
                <w:color w:val="auto"/>
              </w:rPr>
              <w:t>（3）严禁吸烟、携带火种、穿带钉皮鞋等进入易燃易爆场所，罐区设置“严禁烟火”标志牌；</w:t>
            </w:r>
          </w:p>
          <w:p>
            <w:pPr>
              <w:ind w:firstLine="480"/>
              <w:jc w:val="left"/>
              <w:rPr>
                <w:color w:val="auto"/>
              </w:rPr>
            </w:pPr>
            <w:r>
              <w:rPr>
                <w:rFonts w:hint="eastAsia"/>
                <w:color w:val="auto"/>
              </w:rPr>
              <w:t>（4）项目储罐集中在一个区域内，储罐使用双层罐，储罐区设置围堰，围堰高度不低于 0.5m，定期进行检查，检查的重点无有无人为破坏，有无泄漏，做到有问题及时发现，及时处理。地面采取防渗及防腐蚀处理。储罐区内设置“禁止吸烟”和“禁止使用明火”的告示牌。</w:t>
            </w:r>
            <w:r>
              <w:rPr>
                <w:rFonts w:ascii="宋体" w:hAnsi="宋体" w:cs="宋体"/>
                <w:color w:val="auto"/>
              </w:rPr>
              <w:t>储油罐设带有高液位报警功能的液位计，避免卸油时计量失误使罐内液位过高造成冒油。 定期对油品储存、输送、零售环节的设备、管道、阀门、法兰盘等进行检修、维护和保养，同时将油罐区输油管道埋于地下。</w:t>
            </w:r>
            <w:r>
              <w:rPr>
                <w:rFonts w:hint="eastAsia"/>
                <w:color w:val="auto"/>
              </w:rPr>
              <w:t>储存区应远离频繁出入口。油罐的各接合管设在油罐的顶部，便于平时的检修和管理，避免现场安装开孔可能出现焊接不良和接管受力大、容易发生断裂而造成的跑油、渗油等不安全事故。储罐区需设置符合标准的灭火设备，设置明显的警示牌，告诫禁止明火、禁止吸烟。加强对储罐渗漏的防护，对储罐、阀门等进行定期检测，对泄漏到围堰内的物料应使用临时抽吸系统尽快收集，减少着火的机会，一单发生火灾事故，要尽快使用已有的消防设施扑救，疏散周围人群，远离事故区。</w:t>
            </w:r>
          </w:p>
          <w:p>
            <w:pPr>
              <w:ind w:firstLine="480"/>
              <w:jc w:val="left"/>
              <w:rPr>
                <w:color w:val="auto"/>
              </w:rPr>
            </w:pPr>
            <w:r>
              <w:rPr>
                <w:rFonts w:hint="eastAsia"/>
                <w:color w:val="auto"/>
              </w:rPr>
              <w:t>（5）制定事故情况下人员紧急撤离、疏散计划</w:t>
            </w:r>
            <w:r>
              <w:rPr>
                <w:rFonts w:hint="eastAsia" w:ascii="宋体" w:hAnsi="宋体"/>
                <w:color w:val="auto"/>
              </w:rPr>
              <w:t>，一旦发生有毒有害物质泄漏扩散事故，应立即判定当时风向、风速，</w:t>
            </w:r>
            <w:r>
              <w:rPr>
                <w:rFonts w:hint="eastAsia" w:ascii="TimesNewRomanPSMT" w:hAnsi="TimesNewRomanPSMT" w:eastAsia="TimesNewRomanPSMT"/>
                <w:color w:val="auto"/>
              </w:rPr>
              <w:t xml:space="preserve">20min </w:t>
            </w:r>
            <w:r>
              <w:rPr>
                <w:rFonts w:hint="eastAsia" w:ascii="宋体" w:hAnsi="宋体"/>
                <w:color w:val="auto"/>
              </w:rPr>
              <w:t>内必须采取电话、口头通知等方式通知下风向范围内的企事业单位进行撤离。</w:t>
            </w:r>
          </w:p>
          <w:p>
            <w:pPr>
              <w:ind w:firstLine="482"/>
              <w:rPr>
                <w:b/>
                <w:bCs/>
                <w:color w:val="auto"/>
              </w:rPr>
            </w:pPr>
            <w:r>
              <w:rPr>
                <w:rFonts w:hint="eastAsia"/>
                <w:b/>
                <w:bCs/>
                <w:color w:val="auto"/>
              </w:rPr>
              <w:t>7.4.2废水环境风险防范措施</w:t>
            </w:r>
          </w:p>
          <w:p>
            <w:pPr>
              <w:ind w:firstLine="480"/>
              <w:jc w:val="left"/>
              <w:rPr>
                <w:rFonts w:hint="eastAsia" w:ascii="宋体" w:hAnsi="宋体"/>
                <w:color w:val="auto"/>
              </w:rPr>
            </w:pPr>
            <w:r>
              <w:rPr>
                <w:rFonts w:hint="eastAsia" w:ascii="宋体" w:hAnsi="宋体"/>
                <w:color w:val="auto"/>
              </w:rPr>
              <w:t>（1）本项目在装置区、罐区设有围堰，围堰高度为0.5m，围堰内总容积为</w:t>
            </w:r>
            <w:r>
              <w:rPr>
                <w:rFonts w:hint="eastAsia"/>
                <w:color w:val="auto"/>
              </w:rPr>
              <w:t>12</w:t>
            </w:r>
            <w:r>
              <w:rPr>
                <w:color w:val="auto"/>
              </w:rPr>
              <w:t>0m</w:t>
            </w:r>
            <w:r>
              <w:rPr>
                <w:color w:val="auto"/>
                <w:vertAlign w:val="superscript"/>
              </w:rPr>
              <w:t>3</w:t>
            </w:r>
            <w:r>
              <w:rPr>
                <w:rFonts w:hint="eastAsia" w:ascii="宋体" w:hAnsi="宋体"/>
                <w:color w:val="auto"/>
              </w:rPr>
              <w:t>，</w:t>
            </w:r>
            <w:r>
              <w:rPr>
                <w:rFonts w:hint="eastAsia"/>
                <w:color w:val="auto"/>
              </w:rPr>
              <w:t>柴油罐、重油罐采用双层罐，</w:t>
            </w:r>
            <w:r>
              <w:rPr>
                <w:rFonts w:hint="eastAsia" w:ascii="宋体" w:hAnsi="宋体"/>
                <w:color w:val="auto"/>
              </w:rPr>
              <w:t>根据设计资料，项目罐区一次消防用水量为1</w:t>
            </w:r>
            <w:r>
              <w:rPr>
                <w:color w:val="auto"/>
              </w:rPr>
              <w:t>94m</w:t>
            </w:r>
            <w:r>
              <w:rPr>
                <w:color w:val="auto"/>
                <w:vertAlign w:val="superscript"/>
              </w:rPr>
              <w:t>3</w:t>
            </w:r>
            <w:r>
              <w:rPr>
                <w:rFonts w:hint="eastAsia" w:ascii="宋体" w:hAnsi="宋体"/>
                <w:color w:val="auto"/>
              </w:rPr>
              <w:t>，围堰内铺设防渗混凝土地面，确保发生事故的情况下，泄漏物料及消防污水控制咋围堰及防火堤范围内，防治污染范围扩大。</w:t>
            </w:r>
          </w:p>
          <w:p>
            <w:pPr>
              <w:ind w:firstLine="480"/>
              <w:jc w:val="left"/>
              <w:rPr>
                <w:rFonts w:hint="eastAsia" w:ascii="宋体" w:hAnsi="宋体"/>
                <w:color w:val="auto"/>
              </w:rPr>
            </w:pPr>
            <w:r>
              <w:rPr>
                <w:rFonts w:hint="eastAsia" w:ascii="宋体" w:hAnsi="宋体"/>
                <w:color w:val="auto"/>
              </w:rPr>
              <w:t>（2）罐区防火堤内配套见设导流沟，防火堤外设置阀门切换井，实行清污分流。火灾事故状态下关闭雨水阀门，打开事故水阀门，事故水通过自流进入消防事故水池。</w:t>
            </w:r>
          </w:p>
          <w:p>
            <w:pPr>
              <w:ind w:firstLine="480"/>
              <w:rPr>
                <w:color w:val="auto"/>
              </w:rPr>
            </w:pPr>
            <w:r>
              <w:rPr>
                <w:rFonts w:hint="eastAsia"/>
                <w:color w:val="auto"/>
              </w:rPr>
              <w:t>（3）消防事故废水通过管网进入</w:t>
            </w:r>
            <w:r>
              <w:rPr>
                <w:rFonts w:hint="eastAsia" w:ascii="宋体" w:hAnsi="宋体"/>
                <w:color w:val="auto"/>
              </w:rPr>
              <w:t>消防</w:t>
            </w:r>
            <w:r>
              <w:rPr>
                <w:rFonts w:hint="eastAsia"/>
                <w:color w:val="auto"/>
              </w:rPr>
              <w:t>事故水池后，暂存于</w:t>
            </w:r>
            <w:r>
              <w:rPr>
                <w:rFonts w:hint="eastAsia" w:ascii="宋体" w:hAnsi="宋体"/>
                <w:color w:val="auto"/>
              </w:rPr>
              <w:t>消防</w:t>
            </w:r>
            <w:r>
              <w:rPr>
                <w:rFonts w:hint="eastAsia"/>
                <w:color w:val="auto"/>
              </w:rPr>
              <w:t>事故池，委托有资质单位处理。参考《石油化工企业设计防火标准》（GB50160-2008）（2018年修订版）</w:t>
            </w:r>
            <w:r>
              <w:rPr>
                <w:rFonts w:hint="eastAsia"/>
                <w:color w:val="auto"/>
                <w:lang w:val="en-US" w:eastAsia="zh-CN"/>
              </w:rPr>
              <w:t>及项目设计资料</w:t>
            </w:r>
            <w:r>
              <w:rPr>
                <w:rFonts w:hint="eastAsia"/>
                <w:color w:val="auto"/>
              </w:rPr>
              <w:t>，本项目区内发生火灾时，消防用水量最大建筑为厂房，总计消防用水量为 648m³。本项目厂内建有1座700m</w:t>
            </w:r>
            <w:r>
              <w:rPr>
                <w:rFonts w:hint="eastAsia"/>
                <w:color w:val="auto"/>
                <w:vertAlign w:val="superscript"/>
              </w:rPr>
              <w:t>3</w:t>
            </w:r>
            <w:r>
              <w:rPr>
                <w:rFonts w:hint="eastAsia"/>
                <w:color w:val="auto"/>
              </w:rPr>
              <w:t>的消防事故水池，用于企业厂界内暂存消防事故水，消防污水不外排。事故结束后，事故水委托有资质单位处理，避免对周围环境造成不利影响。</w:t>
            </w:r>
          </w:p>
          <w:p>
            <w:pPr>
              <w:ind w:firstLine="482"/>
              <w:rPr>
                <w:b/>
                <w:bCs/>
                <w:color w:val="auto"/>
              </w:rPr>
            </w:pPr>
            <w:r>
              <w:rPr>
                <w:rFonts w:hint="eastAsia"/>
                <w:b/>
                <w:bCs/>
                <w:color w:val="auto"/>
              </w:rPr>
              <w:t>7.4.3地下水、土壤环境风险防范措施</w:t>
            </w:r>
          </w:p>
          <w:p>
            <w:pPr>
              <w:adjustRightInd w:val="0"/>
              <w:snapToGrid w:val="0"/>
              <w:ind w:firstLine="480"/>
              <w:rPr>
                <w:color w:val="auto"/>
              </w:rPr>
            </w:pPr>
            <w:r>
              <w:rPr>
                <w:rFonts w:hint="eastAsia"/>
                <w:color w:val="auto"/>
              </w:rPr>
              <w:t>（1）</w:t>
            </w:r>
            <w:r>
              <w:rPr>
                <w:color w:val="auto"/>
              </w:rPr>
              <w:t>环评要求在沥青储罐</w:t>
            </w:r>
            <w:r>
              <w:rPr>
                <w:rFonts w:hint="eastAsia"/>
                <w:color w:val="auto"/>
              </w:rPr>
              <w:t>、导热油炉、柴油、重油</w:t>
            </w:r>
            <w:r>
              <w:rPr>
                <w:color w:val="auto"/>
              </w:rPr>
              <w:t>四周建设围堰，在导热油炉旁设置事故油池，以便导热油泄漏时将导热油引流至事故应急池内</w:t>
            </w:r>
            <w:r>
              <w:rPr>
                <w:rFonts w:hint="eastAsia"/>
                <w:color w:val="auto"/>
              </w:rPr>
              <w:t>，</w:t>
            </w:r>
            <w:r>
              <w:rPr>
                <w:rFonts w:hint="eastAsia"/>
                <w:color w:val="auto"/>
                <w:lang w:val="en-US" w:eastAsia="zh-CN"/>
              </w:rPr>
              <w:t>根据导热油锅炉的设计参数，导热油最大量为16m</w:t>
            </w:r>
            <w:r>
              <w:rPr>
                <w:rFonts w:hint="eastAsia"/>
                <w:color w:val="auto"/>
                <w:vertAlign w:val="superscript"/>
                <w:lang w:val="en-US" w:eastAsia="zh-CN"/>
              </w:rPr>
              <w:t>3</w:t>
            </w:r>
            <w:r>
              <w:rPr>
                <w:rFonts w:hint="eastAsia"/>
                <w:color w:val="auto"/>
                <w:lang w:val="en-US" w:eastAsia="zh-CN"/>
              </w:rPr>
              <w:t>，因此设计</w:t>
            </w:r>
            <w:r>
              <w:rPr>
                <w:rFonts w:hint="eastAsia"/>
                <w:color w:val="auto"/>
              </w:rPr>
              <w:t>事故应急池容积为</w:t>
            </w:r>
            <w:r>
              <w:rPr>
                <w:rFonts w:hint="eastAsia"/>
                <w:color w:val="auto"/>
                <w:lang w:val="en-US" w:eastAsia="zh-CN"/>
              </w:rPr>
              <w:t>2</w:t>
            </w:r>
            <w:r>
              <w:rPr>
                <w:rFonts w:hint="eastAsia"/>
                <w:color w:val="auto"/>
              </w:rPr>
              <w:t>0m</w:t>
            </w:r>
            <w:r>
              <w:rPr>
                <w:rFonts w:hint="eastAsia"/>
                <w:color w:val="auto"/>
                <w:vertAlign w:val="superscript"/>
              </w:rPr>
              <w:t>3</w:t>
            </w:r>
            <w:r>
              <w:rPr>
                <w:rFonts w:hint="eastAsia"/>
                <w:color w:val="auto"/>
              </w:rPr>
              <w:t>，</w:t>
            </w:r>
            <w:r>
              <w:rPr>
                <w:color w:val="auto"/>
              </w:rPr>
              <w:t xml:space="preserve">可容纳事故状态下全部消防用水。评价要求围堰底部、内壁均采用防渗硬化，可防止泄漏的沥青对地下水造成影响。 </w:t>
            </w:r>
          </w:p>
          <w:p>
            <w:pPr>
              <w:ind w:firstLine="480"/>
              <w:rPr>
                <w:rFonts w:hint="eastAsia"/>
                <w:color w:val="auto"/>
              </w:rPr>
            </w:pPr>
            <w:r>
              <w:rPr>
                <w:rFonts w:hint="eastAsia"/>
                <w:color w:val="auto"/>
              </w:rPr>
              <w:t>（2）油罐基底采用防渗混凝土处理，底板采用外防水，面层细石混凝土，防水层用改性沥青防水卷材，结构层采用钢筋砼结构；油罐顶部及周边均采用粘土夯实，油罐区四周修有围堤，为砖混结构，做有防渗处理，主要是防止油品泄漏时，有足够容积的围堤收集泄漏的油品。</w:t>
            </w:r>
          </w:p>
          <w:p>
            <w:pPr>
              <w:ind w:firstLine="480"/>
              <w:rPr>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rPr>
              <w:t>危险废物的盛装容器应严格执行国家标准；贮存容器均应具有耐腐蚀性、耐压、密封和不与所贮存的废物发生反应等特性；危险废物贮存应按照危险废物的种类和特性进行分区贮存，每个贮存区域之间设置挡墙间隔，要采取“四防”（防风、防雨、防晒、防渗漏）措施；危险废物贮存设施根据贮存的废物种类和特性，按照GB18597-2023《危险废物贮存污染控制标准》中附录A设置标志；建有堵截泄露的裙角，地面与裙角由兼顾防渗的材料建造；设有泄露液体收集装置及气体导出口；设有应急防护设施；地面为防吸附设计，用于存放装载液体危险废物容器的地方，也应具有耐腐蚀的硬化地面，且表面无裂隙；危险废物贮存场所设置符合《环境保护图形标志-固体废物贮存（处置）场》（GB15562.2-1995）的专用标志。</w:t>
            </w:r>
          </w:p>
          <w:p>
            <w:pPr>
              <w:ind w:firstLine="480"/>
              <w:rPr>
                <w:color w:val="auto"/>
              </w:rPr>
            </w:pPr>
            <w:r>
              <w:rPr>
                <w:rFonts w:hint="eastAsia"/>
                <w:color w:val="auto"/>
              </w:rPr>
              <w:t>（</w:t>
            </w:r>
            <w:r>
              <w:rPr>
                <w:rFonts w:hint="eastAsia"/>
                <w:color w:val="auto"/>
                <w:lang w:val="en-US" w:eastAsia="zh-CN"/>
              </w:rPr>
              <w:t>4</w:t>
            </w:r>
            <w:r>
              <w:rPr>
                <w:rFonts w:hint="eastAsia"/>
                <w:color w:val="auto"/>
              </w:rPr>
              <w:t>）加强安全管理，建立完善的管理制定，定期对管道、储罐进行检验和防腐。加强安全附件的检查与维护，保证其正常。</w:t>
            </w:r>
          </w:p>
          <w:p>
            <w:pPr>
              <w:ind w:firstLine="482"/>
              <w:rPr>
                <w:b/>
                <w:bCs/>
                <w:color w:val="auto"/>
              </w:rPr>
            </w:pPr>
            <w:r>
              <w:rPr>
                <w:rFonts w:hint="eastAsia"/>
                <w:b/>
                <w:bCs/>
                <w:color w:val="auto"/>
              </w:rPr>
              <w:t>7.4.4其他措施</w:t>
            </w:r>
          </w:p>
          <w:p>
            <w:pPr>
              <w:pStyle w:val="2"/>
              <w:spacing w:after="0"/>
              <w:ind w:firstLine="480"/>
              <w:rPr>
                <w:color w:val="auto"/>
                <w:sz w:val="24"/>
              </w:rPr>
            </w:pPr>
            <w:r>
              <w:rPr>
                <w:rFonts w:hint="eastAsia"/>
                <w:color w:val="auto"/>
                <w:sz w:val="24"/>
              </w:rPr>
              <w:t>要求企业定期对企业雨污管道、污水治理设施、废气收集及处理设施等环保设施进行维护、修理，使其处于正常运转状态，杜绝事故性排放；一旦发现废水处理设施、废气收集及处理设施出现故障，须立即停止生产，待故障排除完毕、治理设施正常运行后方可恢复生产。</w:t>
            </w:r>
          </w:p>
          <w:p>
            <w:pPr>
              <w:ind w:firstLine="562"/>
              <w:rPr>
                <w:b/>
                <w:bCs/>
                <w:color w:val="auto"/>
                <w:sz w:val="28"/>
                <w:szCs w:val="28"/>
              </w:rPr>
            </w:pPr>
            <w:r>
              <w:rPr>
                <w:rFonts w:hint="eastAsia"/>
                <w:b/>
                <w:bCs/>
                <w:color w:val="auto"/>
                <w:sz w:val="28"/>
                <w:szCs w:val="28"/>
              </w:rPr>
              <w:t>7.5突发环境事件应急预案</w:t>
            </w:r>
          </w:p>
          <w:p>
            <w:pPr>
              <w:ind w:firstLine="480"/>
              <w:rPr>
                <w:color w:val="auto"/>
              </w:rPr>
            </w:pPr>
            <w:r>
              <w:rPr>
                <w:rFonts w:hint="eastAsia"/>
                <w:color w:val="auto"/>
              </w:rPr>
              <w:t>为了在重大事故发生后能够及时予以控制，防止事故蔓延扩大，有效的组织抢险和救助，企业应按照《中华人民共和国环境保护法》、《中华人民共和国突发事件应对法》、《国家突发环境事件应急预案》及《突发环境事件应急预案管理暂行办法》等相关法律、法规和规章要求，公司应成立突发环境事件应急指挥部，配备应急物资等，编制突发环境事件应急预案，并报主管部门备案。并按照应急预案要求定期进行事故演练。</w:t>
            </w:r>
          </w:p>
          <w:p>
            <w:pPr>
              <w:ind w:firstLine="562"/>
              <w:rPr>
                <w:b/>
                <w:bCs/>
                <w:color w:val="auto"/>
                <w:sz w:val="28"/>
                <w:szCs w:val="28"/>
              </w:rPr>
            </w:pPr>
            <w:r>
              <w:rPr>
                <w:rFonts w:hint="eastAsia"/>
                <w:b/>
                <w:bCs/>
                <w:color w:val="auto"/>
                <w:sz w:val="28"/>
                <w:szCs w:val="28"/>
              </w:rPr>
              <w:t>7.6环境风险结论</w:t>
            </w:r>
          </w:p>
          <w:p>
            <w:pPr>
              <w:ind w:firstLine="480"/>
              <w:rPr>
                <w:color w:val="auto"/>
              </w:rPr>
            </w:pPr>
            <w:r>
              <w:rPr>
                <w:rFonts w:hint="eastAsia"/>
                <w:color w:val="auto"/>
              </w:rPr>
              <w:t>根据</w:t>
            </w:r>
            <w:r>
              <w:rPr>
                <w:color w:val="auto"/>
              </w:rPr>
              <w:t>《建设项目环境风险评价技术导则》（HJ169-2018）</w:t>
            </w:r>
            <w:r>
              <w:rPr>
                <w:rFonts w:hint="eastAsia"/>
                <w:color w:val="auto"/>
              </w:rPr>
              <w:t>分析，项目重点关注的风险物质为天然气、危险废物、各种油料，主要风险单元为罐区、拌合站、危废暂存间。根据项目所在区域特性，项目配备有应急器材和个人防护用品，用于泄漏紧急抢险；配备灭火装置，采取硬底化防腐防渗措施和分区防渗措施；设备定期检查和维修，每年应对物料工艺设备进行腐蚀监测，对信号报警系统和通讯装置进行测试；操作人员要定时对车间所有动转设备进行巡回检查，如有异常情况立即请检修人员检查处理；公司应成立突发环境事件应急指挥部，配备应急物资等，制定突发环境事件应急预案。因此，在采取相应的风险防范和应急措施的前提下，项目环境风险是可防控的</w:t>
            </w:r>
            <w:r>
              <w:rPr>
                <w:color w:val="auto"/>
              </w:rPr>
              <w:t>。</w:t>
            </w:r>
          </w:p>
          <w:p>
            <w:pPr>
              <w:ind w:firstLine="480"/>
              <w:rPr>
                <w:color w:val="auto"/>
              </w:rPr>
            </w:pPr>
          </w:p>
          <w:p>
            <w:pPr>
              <w:ind w:firstLine="0" w:firstLineChars="0"/>
              <w:rPr>
                <w:color w:val="auto"/>
              </w:rPr>
            </w:pPr>
          </w:p>
          <w:p>
            <w:pPr>
              <w:ind w:firstLine="0" w:firstLineChars="0"/>
              <w:rPr>
                <w:color w:val="auto"/>
              </w:rPr>
            </w:pPr>
          </w:p>
          <w:p>
            <w:pPr>
              <w:ind w:firstLine="0" w:firstLineChars="0"/>
              <w:rPr>
                <w:color w:val="auto"/>
              </w:rPr>
            </w:pPr>
          </w:p>
          <w:p>
            <w:pPr>
              <w:ind w:firstLine="0" w:firstLineChars="0"/>
              <w:rPr>
                <w:color w:val="auto"/>
              </w:rPr>
            </w:pPr>
          </w:p>
          <w:p>
            <w:pPr>
              <w:ind w:firstLine="0" w:firstLineChars="0"/>
              <w:rPr>
                <w:color w:val="auto"/>
              </w:rPr>
            </w:pPr>
          </w:p>
          <w:p>
            <w:pPr>
              <w:ind w:firstLine="0" w:firstLineChars="0"/>
              <w:rPr>
                <w:color w:val="auto"/>
              </w:rPr>
            </w:pPr>
          </w:p>
          <w:p>
            <w:pPr>
              <w:ind w:firstLine="0" w:firstLineChars="0"/>
              <w:rPr>
                <w:color w:val="auto"/>
              </w:rPr>
            </w:pPr>
          </w:p>
          <w:p>
            <w:pPr>
              <w:ind w:firstLine="0" w:firstLineChars="0"/>
              <w:rPr>
                <w:color w:val="auto"/>
              </w:rPr>
            </w:pPr>
          </w:p>
          <w:p>
            <w:pPr>
              <w:ind w:firstLine="0" w:firstLineChars="0"/>
              <w:rPr>
                <w:color w:val="auto"/>
              </w:rPr>
            </w:pPr>
          </w:p>
        </w:tc>
      </w:tr>
    </w:tbl>
    <w:p>
      <w:pPr>
        <w:pStyle w:val="29"/>
        <w:spacing w:afterAutospacing="0"/>
        <w:ind w:firstLine="600"/>
        <w:jc w:val="center"/>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rPr>
        <w:t>五、</w:t>
      </w:r>
      <w:bookmarkStart w:id="1" w:name="_Hlk54167917"/>
      <w:r>
        <w:rPr>
          <w:rFonts w:hint="eastAsia" w:ascii="黑体" w:hAnsi="黑体" w:eastAsia="黑体"/>
          <w:snapToGrid w:val="0"/>
          <w:color w:val="auto"/>
          <w:sz w:val="30"/>
          <w:szCs w:val="30"/>
        </w:rPr>
        <w:t>环境保护措施监督检查清单</w:t>
      </w:r>
      <w:bookmarkEnd w:id="1"/>
    </w:p>
    <w:tbl>
      <w:tblPr>
        <w:tblStyle w:val="31"/>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1403"/>
        <w:gridCol w:w="1055"/>
        <w:gridCol w:w="2336"/>
        <w:gridCol w:w="24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67" w:type="pct"/>
            <w:tcBorders>
              <w:tl2br w:val="single" w:color="auto" w:sz="4" w:space="0"/>
            </w:tcBorders>
          </w:tcPr>
          <w:p>
            <w:pPr>
              <w:adjustRightInd w:val="0"/>
              <w:snapToGrid w:val="0"/>
              <w:ind w:firstLine="0" w:firstLineChars="0"/>
              <w:rPr>
                <w:rFonts w:hint="eastAsia" w:ascii="宋体" w:hAnsi="宋体" w:cs="宋体"/>
                <w:b/>
                <w:bCs/>
                <w:color w:val="auto"/>
              </w:rPr>
            </w:pPr>
            <w:r>
              <w:rPr>
                <w:rFonts w:hint="eastAsia" w:ascii="宋体" w:hAnsi="宋体" w:cs="宋体"/>
                <w:b/>
                <w:bCs/>
                <w:color w:val="auto"/>
              </w:rPr>
              <w:t>内容</w:t>
            </w:r>
          </w:p>
          <w:p>
            <w:pPr>
              <w:adjustRightInd w:val="0"/>
              <w:snapToGrid w:val="0"/>
              <w:ind w:firstLine="0" w:firstLineChars="0"/>
              <w:rPr>
                <w:rFonts w:hint="eastAsia" w:ascii="宋体" w:hAnsi="宋体" w:cs="宋体"/>
                <w:b/>
                <w:bCs/>
                <w:color w:val="auto"/>
              </w:rPr>
            </w:pPr>
            <w:r>
              <w:rPr>
                <w:rFonts w:hint="eastAsia" w:ascii="宋体" w:hAnsi="宋体" w:cs="宋体"/>
                <w:b/>
                <w:bCs/>
                <w:color w:val="auto"/>
              </w:rPr>
              <w:t>要素</w:t>
            </w:r>
          </w:p>
        </w:tc>
        <w:tc>
          <w:tcPr>
            <w:tcW w:w="823" w:type="pct"/>
            <w:vAlign w:val="center"/>
          </w:tcPr>
          <w:p>
            <w:pPr>
              <w:adjustRightInd w:val="0"/>
              <w:snapToGrid w:val="0"/>
              <w:ind w:firstLine="0" w:firstLineChars="0"/>
              <w:jc w:val="center"/>
              <w:rPr>
                <w:rFonts w:hint="eastAsia" w:ascii="宋体" w:hAnsi="宋体" w:cs="宋体"/>
                <w:b/>
                <w:bCs/>
                <w:color w:val="auto"/>
              </w:rPr>
            </w:pPr>
            <w:r>
              <w:rPr>
                <w:rFonts w:hint="eastAsia" w:ascii="宋体" w:hAnsi="宋体" w:cs="宋体"/>
                <w:b/>
                <w:bCs/>
                <w:color w:val="auto"/>
              </w:rPr>
              <w:t>排放口(编号、名称)/污染源</w:t>
            </w:r>
          </w:p>
        </w:tc>
        <w:tc>
          <w:tcPr>
            <w:tcW w:w="619" w:type="pct"/>
            <w:vAlign w:val="center"/>
          </w:tcPr>
          <w:p>
            <w:pPr>
              <w:adjustRightInd w:val="0"/>
              <w:snapToGrid w:val="0"/>
              <w:ind w:firstLine="0" w:firstLineChars="0"/>
              <w:jc w:val="center"/>
              <w:rPr>
                <w:rFonts w:hint="eastAsia" w:ascii="宋体" w:hAnsi="宋体" w:cs="宋体"/>
                <w:b/>
                <w:bCs/>
                <w:color w:val="auto"/>
              </w:rPr>
            </w:pPr>
            <w:r>
              <w:rPr>
                <w:rFonts w:hint="eastAsia" w:ascii="宋体" w:hAnsi="宋体" w:cs="宋体"/>
                <w:b/>
                <w:bCs/>
                <w:color w:val="auto"/>
              </w:rPr>
              <w:t>污染物项目</w:t>
            </w:r>
          </w:p>
        </w:tc>
        <w:tc>
          <w:tcPr>
            <w:tcW w:w="1370" w:type="pct"/>
            <w:vAlign w:val="center"/>
          </w:tcPr>
          <w:p>
            <w:pPr>
              <w:adjustRightInd w:val="0"/>
              <w:snapToGrid w:val="0"/>
              <w:ind w:firstLine="0" w:firstLineChars="0"/>
              <w:jc w:val="center"/>
              <w:rPr>
                <w:rFonts w:hint="eastAsia" w:ascii="宋体" w:hAnsi="宋体" w:cs="宋体"/>
                <w:b/>
                <w:bCs/>
                <w:color w:val="auto"/>
              </w:rPr>
            </w:pPr>
            <w:r>
              <w:rPr>
                <w:rFonts w:hint="eastAsia" w:ascii="宋体" w:hAnsi="宋体" w:cs="宋体"/>
                <w:b/>
                <w:bCs/>
                <w:color w:val="auto"/>
              </w:rPr>
              <w:t>环境保护措施</w:t>
            </w:r>
          </w:p>
        </w:tc>
        <w:tc>
          <w:tcPr>
            <w:tcW w:w="1419" w:type="pct"/>
            <w:vAlign w:val="center"/>
          </w:tcPr>
          <w:p>
            <w:pPr>
              <w:adjustRightInd w:val="0"/>
              <w:snapToGrid w:val="0"/>
              <w:ind w:firstLine="0" w:firstLineChars="0"/>
              <w:jc w:val="center"/>
              <w:rPr>
                <w:rFonts w:hint="eastAsia" w:ascii="宋体" w:hAnsi="宋体" w:cs="宋体"/>
                <w:b/>
                <w:bCs/>
                <w:color w:val="auto"/>
              </w:rPr>
            </w:pPr>
            <w:r>
              <w:rPr>
                <w:rFonts w:hint="eastAsia" w:ascii="宋体" w:hAnsi="宋体" w:cs="宋体"/>
                <w:b/>
                <w:bCs/>
                <w:color w:val="auto"/>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67" w:type="pct"/>
            <w:vMerge w:val="restart"/>
            <w:vAlign w:val="center"/>
          </w:tcPr>
          <w:p>
            <w:pPr>
              <w:adjustRightInd w:val="0"/>
              <w:snapToGrid w:val="0"/>
              <w:ind w:firstLine="0" w:firstLineChars="0"/>
              <w:jc w:val="center"/>
              <w:rPr>
                <w:rFonts w:hint="eastAsia" w:ascii="宋体" w:hAnsi="宋体" w:cs="宋体"/>
                <w:color w:val="auto"/>
              </w:rPr>
            </w:pPr>
            <w:r>
              <w:rPr>
                <w:rFonts w:hint="eastAsia" w:ascii="宋体" w:hAnsi="宋体" w:cs="宋体"/>
                <w:color w:val="auto"/>
              </w:rPr>
              <w:t>大气环境</w:t>
            </w:r>
          </w:p>
        </w:tc>
        <w:tc>
          <w:tcPr>
            <w:tcW w:w="823" w:type="pct"/>
            <w:vAlign w:val="center"/>
          </w:tcPr>
          <w:p>
            <w:pPr>
              <w:adjustRightInd w:val="0"/>
              <w:snapToGrid w:val="0"/>
              <w:ind w:firstLine="0" w:firstLineChars="0"/>
              <w:jc w:val="center"/>
              <w:rPr>
                <w:rFonts w:hint="eastAsia" w:ascii="宋体" w:hAnsi="宋体" w:cs="宋体"/>
                <w:color w:val="auto"/>
              </w:rPr>
            </w:pPr>
            <w:r>
              <w:rPr>
                <w:rFonts w:hint="eastAsia"/>
                <w:color w:val="auto"/>
              </w:rPr>
              <w:t>导热油炉废气（DA001）</w:t>
            </w:r>
          </w:p>
        </w:tc>
        <w:tc>
          <w:tcPr>
            <w:tcW w:w="619" w:type="pct"/>
            <w:vAlign w:val="center"/>
          </w:tcPr>
          <w:p>
            <w:pPr>
              <w:adjustRightInd w:val="0"/>
              <w:snapToGrid w:val="0"/>
              <w:ind w:firstLine="0" w:firstLineChars="0"/>
              <w:jc w:val="center"/>
              <w:rPr>
                <w:color w:val="auto"/>
              </w:rPr>
            </w:pPr>
            <w:r>
              <w:rPr>
                <w:rFonts w:hint="eastAsia"/>
                <w:color w:val="auto"/>
              </w:rPr>
              <w:t>SO</w:t>
            </w:r>
            <w:r>
              <w:rPr>
                <w:rFonts w:hint="eastAsia"/>
                <w:color w:val="auto"/>
                <w:vertAlign w:val="subscript"/>
              </w:rPr>
              <w:t>2</w:t>
            </w:r>
            <w:r>
              <w:rPr>
                <w:rFonts w:hint="eastAsia"/>
                <w:color w:val="auto"/>
              </w:rPr>
              <w:t>、NOx、颗粒物</w:t>
            </w:r>
          </w:p>
        </w:tc>
        <w:tc>
          <w:tcPr>
            <w:tcW w:w="1370" w:type="pct"/>
            <w:vAlign w:val="center"/>
          </w:tcPr>
          <w:p>
            <w:pPr>
              <w:ind w:firstLine="0" w:firstLineChars="0"/>
              <w:jc w:val="center"/>
              <w:rPr>
                <w:color w:val="auto"/>
              </w:rPr>
            </w:pPr>
            <w:r>
              <w:rPr>
                <w:rFonts w:hint="eastAsia"/>
                <w:color w:val="auto"/>
              </w:rPr>
              <w:t>通过高度15m，直径0.5m的排气筒（DA001）排放</w:t>
            </w:r>
          </w:p>
        </w:tc>
        <w:tc>
          <w:tcPr>
            <w:tcW w:w="1419" w:type="pct"/>
            <w:vAlign w:val="center"/>
          </w:tcPr>
          <w:p>
            <w:pPr>
              <w:adjustRightInd w:val="0"/>
              <w:snapToGrid w:val="0"/>
              <w:ind w:firstLine="0" w:firstLineChars="0"/>
              <w:jc w:val="center"/>
              <w:rPr>
                <w:rFonts w:hint="eastAsia" w:ascii="宋体" w:hAnsi="宋体" w:cs="宋体"/>
                <w:color w:val="auto"/>
              </w:rPr>
            </w:pPr>
            <w:r>
              <w:rPr>
                <w:rFonts w:hint="eastAsia"/>
                <w:color w:val="auto"/>
              </w:rPr>
              <w:t>执行《锅炉大气污染物排放标准》(GB13271-2014)表2燃油锅炉排放标准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767" w:type="pct"/>
            <w:vMerge w:val="continue"/>
            <w:vAlign w:val="center"/>
          </w:tcPr>
          <w:p>
            <w:pPr>
              <w:adjustRightInd w:val="0"/>
              <w:snapToGrid w:val="0"/>
              <w:ind w:firstLine="0" w:firstLineChars="0"/>
              <w:jc w:val="center"/>
              <w:rPr>
                <w:rFonts w:hint="eastAsia" w:ascii="宋体" w:hAnsi="宋体" w:cs="宋体"/>
                <w:color w:val="auto"/>
              </w:rPr>
            </w:pPr>
          </w:p>
        </w:tc>
        <w:tc>
          <w:tcPr>
            <w:tcW w:w="823" w:type="pct"/>
            <w:vAlign w:val="center"/>
          </w:tcPr>
          <w:p>
            <w:pPr>
              <w:adjustRightInd w:val="0"/>
              <w:snapToGrid w:val="0"/>
              <w:ind w:firstLine="0" w:firstLineChars="0"/>
              <w:jc w:val="center"/>
              <w:rPr>
                <w:color w:val="auto"/>
              </w:rPr>
            </w:pPr>
            <w:r>
              <w:rPr>
                <w:rFonts w:hint="eastAsia" w:asciiTheme="minorEastAsia" w:hAnsiTheme="minorEastAsia" w:eastAsiaTheme="minorEastAsia" w:cstheme="minorEastAsia"/>
                <w:color w:val="auto"/>
              </w:rPr>
              <w:t>沥青加热、拌合、</w:t>
            </w:r>
            <w:r>
              <w:rPr>
                <w:rFonts w:hint="eastAsia"/>
                <w:color w:val="auto"/>
              </w:rPr>
              <w:t>骨料烘干废气（DA002）</w:t>
            </w:r>
          </w:p>
        </w:tc>
        <w:tc>
          <w:tcPr>
            <w:tcW w:w="619" w:type="pct"/>
            <w:vAlign w:val="center"/>
          </w:tcPr>
          <w:p>
            <w:pPr>
              <w:adjustRightInd w:val="0"/>
              <w:snapToGrid w:val="0"/>
              <w:ind w:firstLine="0" w:firstLineChars="0"/>
              <w:jc w:val="center"/>
              <w:rPr>
                <w:rFonts w:hint="eastAsia" w:ascii="宋体" w:hAnsi="宋体" w:cs="宋体"/>
                <w:color w:val="auto"/>
              </w:rPr>
            </w:pPr>
            <w:r>
              <w:rPr>
                <w:rFonts w:hint="eastAsia"/>
                <w:color w:val="auto"/>
              </w:rPr>
              <w:t>SO</w:t>
            </w:r>
            <w:r>
              <w:rPr>
                <w:rFonts w:hint="eastAsia"/>
                <w:color w:val="auto"/>
                <w:vertAlign w:val="subscript"/>
              </w:rPr>
              <w:t>2</w:t>
            </w:r>
            <w:r>
              <w:rPr>
                <w:rFonts w:hint="eastAsia"/>
                <w:color w:val="auto"/>
              </w:rPr>
              <w:t>、NOx、颗粒物、</w:t>
            </w:r>
            <w:r>
              <w:rPr>
                <w:rFonts w:hint="eastAsia" w:ascii="宋体" w:hAnsi="宋体" w:cs="宋体"/>
                <w:color w:val="auto"/>
              </w:rPr>
              <w:t>沥青烟、苯并[a]芘</w:t>
            </w:r>
          </w:p>
        </w:tc>
        <w:tc>
          <w:tcPr>
            <w:tcW w:w="1370" w:type="pct"/>
            <w:vAlign w:val="center"/>
          </w:tcPr>
          <w:p>
            <w:pPr>
              <w:ind w:firstLine="0" w:firstLineChars="0"/>
              <w:jc w:val="center"/>
              <w:rPr>
                <w:color w:val="auto"/>
              </w:rPr>
            </w:pPr>
            <w:r>
              <w:rPr>
                <w:color w:val="auto"/>
              </w:rPr>
              <w:t>沥青加热、拌合采用全封闭式，沥青罐及拌合站沥青烟负压收集后进入经负压抽风引至</w:t>
            </w:r>
            <w:r>
              <w:rPr>
                <w:rFonts w:hint="eastAsia"/>
                <w:color w:val="auto"/>
              </w:rPr>
              <w:t>电捕焦油+</w:t>
            </w:r>
            <w:r>
              <w:rPr>
                <w:color w:val="auto"/>
              </w:rPr>
              <w:t>活性炭吸附处理</w:t>
            </w:r>
            <w:r>
              <w:rPr>
                <w:rFonts w:hint="eastAsia"/>
                <w:color w:val="auto"/>
              </w:rPr>
              <w:t>（效率90%）后，引排气筒入DA002排放；骨料烘干使用超低氮燃烧器，废气通过袋式除尘器（效率99%）处理后，引排气筒入DA002排放</w:t>
            </w:r>
          </w:p>
        </w:tc>
        <w:tc>
          <w:tcPr>
            <w:tcW w:w="1419" w:type="pct"/>
            <w:vAlign w:val="center"/>
          </w:tcPr>
          <w:p>
            <w:pPr>
              <w:adjustRightInd w:val="0"/>
              <w:snapToGrid w:val="0"/>
              <w:ind w:firstLine="0" w:firstLineChars="0"/>
              <w:jc w:val="center"/>
              <w:rPr>
                <w:color w:val="auto"/>
              </w:rPr>
            </w:pPr>
            <w:r>
              <w:rPr>
                <w:color w:val="auto"/>
              </w:rPr>
              <w:t>《大气污染物综合排放标准》（GB16297-1996）新污染源二级标准的要求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767" w:type="pct"/>
            <w:vMerge w:val="continue"/>
            <w:vAlign w:val="center"/>
          </w:tcPr>
          <w:p>
            <w:pPr>
              <w:adjustRightInd w:val="0"/>
              <w:snapToGrid w:val="0"/>
              <w:ind w:firstLine="0" w:firstLineChars="0"/>
              <w:jc w:val="center"/>
              <w:rPr>
                <w:rFonts w:hint="eastAsia" w:ascii="宋体" w:hAnsi="宋体" w:cs="宋体"/>
                <w:color w:val="auto"/>
              </w:rPr>
            </w:pPr>
          </w:p>
        </w:tc>
        <w:tc>
          <w:tcPr>
            <w:tcW w:w="823" w:type="pct"/>
            <w:vAlign w:val="center"/>
          </w:tcPr>
          <w:p>
            <w:pPr>
              <w:adjustRightInd w:val="0"/>
              <w:snapToGrid w:val="0"/>
              <w:ind w:firstLine="0" w:firstLineChars="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上料粉尘</w:t>
            </w:r>
          </w:p>
        </w:tc>
        <w:tc>
          <w:tcPr>
            <w:tcW w:w="619" w:type="pct"/>
            <w:vAlign w:val="center"/>
          </w:tcPr>
          <w:p>
            <w:pPr>
              <w:adjustRightInd w:val="0"/>
              <w:snapToGrid w:val="0"/>
              <w:ind w:firstLine="0" w:firstLineChars="0"/>
              <w:jc w:val="center"/>
              <w:rPr>
                <w:color w:val="auto"/>
              </w:rPr>
            </w:pPr>
            <w:r>
              <w:rPr>
                <w:rFonts w:hint="eastAsia"/>
                <w:color w:val="auto"/>
              </w:rPr>
              <w:t>颗粒物</w:t>
            </w:r>
          </w:p>
        </w:tc>
        <w:tc>
          <w:tcPr>
            <w:tcW w:w="1370" w:type="pct"/>
            <w:vAlign w:val="center"/>
          </w:tcPr>
          <w:p>
            <w:pPr>
              <w:ind w:firstLine="0" w:firstLineChars="0"/>
              <w:jc w:val="center"/>
              <w:rPr>
                <w:color w:val="auto"/>
              </w:rPr>
            </w:pPr>
            <w:r>
              <w:rPr>
                <w:rFonts w:hint="eastAsia" w:ascii="宋体" w:hAnsi="宋体" w:cs="宋体"/>
                <w:color w:val="auto"/>
              </w:rPr>
              <w:t>粉尘经车间换气扇当排出</w:t>
            </w:r>
          </w:p>
        </w:tc>
        <w:tc>
          <w:tcPr>
            <w:tcW w:w="1419" w:type="pct"/>
            <w:vMerge w:val="restart"/>
            <w:vAlign w:val="center"/>
          </w:tcPr>
          <w:p>
            <w:pPr>
              <w:adjustRightInd w:val="0"/>
              <w:snapToGrid w:val="0"/>
              <w:ind w:firstLine="0" w:firstLineChars="0"/>
              <w:jc w:val="center"/>
              <w:rPr>
                <w:color w:val="auto"/>
              </w:rPr>
            </w:pPr>
            <w:r>
              <w:rPr>
                <w:color w:val="auto"/>
                <w:szCs w:val="21"/>
              </w:rPr>
              <w:t>《水泥工业大气污染物排放标准》（GB4915-2013）表3大气污染物无组织排放限值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767" w:type="pct"/>
            <w:vMerge w:val="continue"/>
            <w:vAlign w:val="center"/>
          </w:tcPr>
          <w:p>
            <w:pPr>
              <w:adjustRightInd w:val="0"/>
              <w:snapToGrid w:val="0"/>
              <w:ind w:firstLine="0" w:firstLineChars="0"/>
              <w:jc w:val="center"/>
              <w:rPr>
                <w:rFonts w:hint="eastAsia" w:ascii="宋体" w:hAnsi="宋体" w:cs="宋体"/>
                <w:color w:val="auto"/>
              </w:rPr>
            </w:pPr>
          </w:p>
        </w:tc>
        <w:tc>
          <w:tcPr>
            <w:tcW w:w="823" w:type="pct"/>
            <w:vAlign w:val="center"/>
          </w:tcPr>
          <w:p>
            <w:pPr>
              <w:adjustRightInd w:val="0"/>
              <w:snapToGrid w:val="0"/>
              <w:ind w:firstLine="0" w:firstLineChars="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矿粉筒仓粉尘</w:t>
            </w:r>
          </w:p>
        </w:tc>
        <w:tc>
          <w:tcPr>
            <w:tcW w:w="619" w:type="pct"/>
            <w:vAlign w:val="center"/>
          </w:tcPr>
          <w:p>
            <w:pPr>
              <w:adjustRightInd w:val="0"/>
              <w:snapToGrid w:val="0"/>
              <w:ind w:firstLine="0" w:firstLineChars="0"/>
              <w:jc w:val="center"/>
              <w:rPr>
                <w:color w:val="auto"/>
              </w:rPr>
            </w:pPr>
            <w:r>
              <w:rPr>
                <w:rFonts w:hint="eastAsia"/>
                <w:color w:val="auto"/>
              </w:rPr>
              <w:t>颗粒物</w:t>
            </w:r>
          </w:p>
        </w:tc>
        <w:tc>
          <w:tcPr>
            <w:tcW w:w="1370" w:type="pct"/>
            <w:vAlign w:val="center"/>
          </w:tcPr>
          <w:p>
            <w:pPr>
              <w:ind w:firstLine="0" w:firstLineChars="0"/>
              <w:jc w:val="center"/>
              <w:rPr>
                <w:rFonts w:hint="eastAsia" w:ascii="宋体" w:hAnsi="宋体" w:cs="宋体"/>
                <w:color w:val="auto"/>
              </w:rPr>
            </w:pPr>
            <w:r>
              <w:rPr>
                <w:rFonts w:hint="eastAsia" w:asciiTheme="minorEastAsia" w:hAnsiTheme="minorEastAsia" w:eastAsiaTheme="minorEastAsia" w:cstheme="minorEastAsia"/>
                <w:color w:val="auto"/>
              </w:rPr>
              <w:t>筒仓自带除尘器处理后排放</w:t>
            </w:r>
          </w:p>
        </w:tc>
        <w:tc>
          <w:tcPr>
            <w:tcW w:w="1419" w:type="pct"/>
            <w:vMerge w:val="continue"/>
            <w:vAlign w:val="center"/>
          </w:tcPr>
          <w:p>
            <w:pPr>
              <w:adjustRightInd w:val="0"/>
              <w:snapToGrid w:val="0"/>
              <w:ind w:firstLine="0" w:firstLineChars="0"/>
              <w:jc w:val="center"/>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767" w:type="pct"/>
            <w:vMerge w:val="continue"/>
            <w:vAlign w:val="center"/>
          </w:tcPr>
          <w:p>
            <w:pPr>
              <w:adjustRightInd w:val="0"/>
              <w:snapToGrid w:val="0"/>
              <w:ind w:firstLine="0" w:firstLineChars="0"/>
              <w:jc w:val="center"/>
              <w:rPr>
                <w:rFonts w:hint="eastAsia" w:ascii="宋体" w:hAnsi="宋体" w:cs="宋体"/>
                <w:color w:val="auto"/>
              </w:rPr>
            </w:pPr>
          </w:p>
        </w:tc>
        <w:tc>
          <w:tcPr>
            <w:tcW w:w="823" w:type="pct"/>
            <w:vAlign w:val="center"/>
          </w:tcPr>
          <w:p>
            <w:pPr>
              <w:adjustRightInd w:val="0"/>
              <w:snapToGrid w:val="0"/>
              <w:ind w:firstLine="0" w:firstLineChars="0"/>
              <w:jc w:val="center"/>
              <w:rPr>
                <w:rFonts w:hint="eastAsia" w:asciiTheme="minorEastAsia" w:hAnsiTheme="minorEastAsia" w:eastAsiaTheme="minorEastAsia" w:cstheme="minorEastAsia"/>
                <w:color w:val="auto"/>
              </w:rPr>
            </w:pPr>
            <w:r>
              <w:rPr>
                <w:rFonts w:hint="eastAsia"/>
                <w:color w:val="auto"/>
              </w:rPr>
              <w:t>运输过程中产生的粉尘</w:t>
            </w:r>
          </w:p>
        </w:tc>
        <w:tc>
          <w:tcPr>
            <w:tcW w:w="619" w:type="pct"/>
            <w:vAlign w:val="center"/>
          </w:tcPr>
          <w:p>
            <w:pPr>
              <w:adjustRightInd w:val="0"/>
              <w:snapToGrid w:val="0"/>
              <w:ind w:firstLine="0" w:firstLineChars="0"/>
              <w:jc w:val="center"/>
              <w:rPr>
                <w:color w:val="auto"/>
              </w:rPr>
            </w:pPr>
            <w:r>
              <w:rPr>
                <w:rFonts w:hint="eastAsia"/>
                <w:color w:val="auto"/>
              </w:rPr>
              <w:t>颗粒物</w:t>
            </w:r>
          </w:p>
        </w:tc>
        <w:tc>
          <w:tcPr>
            <w:tcW w:w="1370" w:type="pct"/>
            <w:vAlign w:val="center"/>
          </w:tcPr>
          <w:p>
            <w:pPr>
              <w:ind w:firstLine="0" w:firstLineChars="0"/>
              <w:jc w:val="center"/>
              <w:rPr>
                <w:color w:val="auto"/>
              </w:rPr>
            </w:pPr>
            <w:r>
              <w:rPr>
                <w:color w:val="auto"/>
                <w:spacing w:val="-4"/>
              </w:rPr>
              <w:t>厂区路面硬化，运输车辆均使用封闭运输车辆，</w:t>
            </w:r>
            <w:r>
              <w:rPr>
                <w:rFonts w:hint="eastAsia"/>
                <w:color w:val="auto"/>
                <w:spacing w:val="-4"/>
              </w:rPr>
              <w:t>运输</w:t>
            </w:r>
            <w:r>
              <w:rPr>
                <w:color w:val="auto"/>
                <w:spacing w:val="-4"/>
              </w:rPr>
              <w:t>车定</w:t>
            </w:r>
            <w:r>
              <w:rPr>
                <w:color w:val="auto"/>
                <w:spacing w:val="-7"/>
              </w:rPr>
              <w:t>期检修，杜绝抛洒，</w:t>
            </w:r>
            <w:r>
              <w:rPr>
                <w:rFonts w:hint="eastAsia"/>
                <w:color w:val="auto"/>
                <w:spacing w:val="1"/>
              </w:rPr>
              <w:t>厂区内设置洗车平台，</w:t>
            </w:r>
            <w:r>
              <w:rPr>
                <w:color w:val="auto"/>
                <w:spacing w:val="1"/>
              </w:rPr>
              <w:t>对车辆进行冲洗</w:t>
            </w:r>
            <w:r>
              <w:rPr>
                <w:rFonts w:hint="eastAsia"/>
                <w:color w:val="auto"/>
                <w:spacing w:val="1"/>
              </w:rPr>
              <w:t>，</w:t>
            </w:r>
            <w:r>
              <w:rPr>
                <w:color w:val="auto"/>
                <w:spacing w:val="-7"/>
              </w:rPr>
              <w:t>在易起尘路段减速慢行</w:t>
            </w:r>
          </w:p>
        </w:tc>
        <w:tc>
          <w:tcPr>
            <w:tcW w:w="1419" w:type="pct"/>
            <w:vMerge w:val="continue"/>
            <w:vAlign w:val="center"/>
          </w:tcPr>
          <w:p>
            <w:pPr>
              <w:adjustRightInd w:val="0"/>
              <w:snapToGrid w:val="0"/>
              <w:ind w:firstLine="0" w:firstLineChars="0"/>
              <w:jc w:val="center"/>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767" w:type="pct"/>
            <w:vMerge w:val="continue"/>
            <w:vAlign w:val="center"/>
          </w:tcPr>
          <w:p>
            <w:pPr>
              <w:adjustRightInd w:val="0"/>
              <w:snapToGrid w:val="0"/>
              <w:ind w:firstLine="0" w:firstLineChars="0"/>
              <w:jc w:val="center"/>
              <w:rPr>
                <w:rFonts w:hint="eastAsia" w:ascii="宋体" w:hAnsi="宋体" w:cs="宋体"/>
                <w:color w:val="auto"/>
              </w:rPr>
            </w:pPr>
          </w:p>
        </w:tc>
        <w:tc>
          <w:tcPr>
            <w:tcW w:w="823" w:type="pct"/>
            <w:vAlign w:val="center"/>
          </w:tcPr>
          <w:p>
            <w:pPr>
              <w:adjustRightInd w:val="0"/>
              <w:snapToGrid w:val="0"/>
              <w:ind w:firstLine="0" w:firstLineChars="0"/>
              <w:jc w:val="center"/>
              <w:rPr>
                <w:rFonts w:hint="eastAsia" w:asciiTheme="minorEastAsia" w:hAnsiTheme="minorEastAsia" w:eastAsiaTheme="minorEastAsia" w:cstheme="minorEastAsia"/>
                <w:color w:val="auto"/>
              </w:rPr>
            </w:pPr>
            <w:r>
              <w:rPr>
                <w:rFonts w:hint="eastAsia"/>
                <w:color w:val="auto"/>
              </w:rPr>
              <w:t>砂石料装卸扬尘</w:t>
            </w:r>
          </w:p>
        </w:tc>
        <w:tc>
          <w:tcPr>
            <w:tcW w:w="619" w:type="pct"/>
            <w:vAlign w:val="center"/>
          </w:tcPr>
          <w:p>
            <w:pPr>
              <w:adjustRightInd w:val="0"/>
              <w:snapToGrid w:val="0"/>
              <w:ind w:firstLine="0" w:firstLineChars="0"/>
              <w:jc w:val="center"/>
              <w:rPr>
                <w:color w:val="auto"/>
              </w:rPr>
            </w:pPr>
            <w:r>
              <w:rPr>
                <w:rFonts w:hint="eastAsia"/>
                <w:color w:val="auto"/>
              </w:rPr>
              <w:t>颗粒物</w:t>
            </w:r>
          </w:p>
        </w:tc>
        <w:tc>
          <w:tcPr>
            <w:tcW w:w="1370" w:type="pct"/>
            <w:vAlign w:val="center"/>
          </w:tcPr>
          <w:p>
            <w:pPr>
              <w:ind w:firstLine="0" w:firstLineChars="0"/>
              <w:jc w:val="center"/>
              <w:rPr>
                <w:color w:val="auto"/>
              </w:rPr>
            </w:pPr>
            <w:r>
              <w:rPr>
                <w:color w:val="auto"/>
              </w:rPr>
              <w:t>装卸在车间内操作，配套喷雾洒  水抑尘设施，喷头水量保证物料堆喷洒覆盖率达100%，</w:t>
            </w:r>
          </w:p>
        </w:tc>
        <w:tc>
          <w:tcPr>
            <w:tcW w:w="1419" w:type="pct"/>
            <w:vMerge w:val="continue"/>
            <w:vAlign w:val="center"/>
          </w:tcPr>
          <w:p>
            <w:pPr>
              <w:adjustRightInd w:val="0"/>
              <w:snapToGrid w:val="0"/>
              <w:ind w:firstLine="0" w:firstLineChars="0"/>
              <w:jc w:val="center"/>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767" w:type="pct"/>
            <w:vMerge w:val="continue"/>
            <w:vAlign w:val="center"/>
          </w:tcPr>
          <w:p>
            <w:pPr>
              <w:adjustRightInd w:val="0"/>
              <w:snapToGrid w:val="0"/>
              <w:ind w:firstLine="0" w:firstLineChars="0"/>
              <w:jc w:val="center"/>
              <w:rPr>
                <w:rFonts w:hint="eastAsia" w:ascii="宋体" w:hAnsi="宋体" w:cs="宋体"/>
                <w:color w:val="auto"/>
              </w:rPr>
            </w:pPr>
          </w:p>
        </w:tc>
        <w:tc>
          <w:tcPr>
            <w:tcW w:w="823" w:type="pct"/>
            <w:vAlign w:val="center"/>
          </w:tcPr>
          <w:p>
            <w:pPr>
              <w:adjustRightInd w:val="0"/>
              <w:snapToGrid w:val="0"/>
              <w:ind w:firstLine="0" w:firstLineChars="0"/>
              <w:jc w:val="center"/>
              <w:rPr>
                <w:color w:val="auto"/>
              </w:rPr>
            </w:pPr>
            <w:r>
              <w:rPr>
                <w:rFonts w:hint="eastAsia"/>
                <w:color w:val="auto"/>
              </w:rPr>
              <w:t>商品混凝土搅拌</w:t>
            </w:r>
          </w:p>
        </w:tc>
        <w:tc>
          <w:tcPr>
            <w:tcW w:w="619" w:type="pct"/>
            <w:vAlign w:val="center"/>
          </w:tcPr>
          <w:p>
            <w:pPr>
              <w:adjustRightInd w:val="0"/>
              <w:snapToGrid w:val="0"/>
              <w:ind w:firstLine="0" w:firstLineChars="0"/>
              <w:jc w:val="center"/>
              <w:rPr>
                <w:color w:val="auto"/>
              </w:rPr>
            </w:pPr>
            <w:r>
              <w:rPr>
                <w:rFonts w:hint="eastAsia"/>
                <w:color w:val="auto"/>
              </w:rPr>
              <w:t>颗粒物</w:t>
            </w:r>
          </w:p>
        </w:tc>
        <w:tc>
          <w:tcPr>
            <w:tcW w:w="1370" w:type="pct"/>
            <w:vAlign w:val="center"/>
          </w:tcPr>
          <w:p>
            <w:pPr>
              <w:ind w:firstLine="0" w:firstLineChars="0"/>
              <w:jc w:val="center"/>
              <w:rPr>
                <w:color w:val="auto"/>
              </w:rPr>
            </w:pPr>
            <w:r>
              <w:rPr>
                <w:rFonts w:hint="eastAsia"/>
                <w:color w:val="auto"/>
              </w:rPr>
              <w:t>两座搅拌楼分别自带袋式除尘器，除尘器效率为99%以上</w:t>
            </w:r>
          </w:p>
        </w:tc>
        <w:tc>
          <w:tcPr>
            <w:tcW w:w="1419" w:type="pct"/>
            <w:vMerge w:val="continue"/>
            <w:vAlign w:val="center"/>
          </w:tcPr>
          <w:p>
            <w:pPr>
              <w:adjustRightInd w:val="0"/>
              <w:snapToGrid w:val="0"/>
              <w:ind w:firstLine="0" w:firstLineChars="0"/>
              <w:jc w:val="center"/>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767" w:type="pct"/>
            <w:vMerge w:val="continue"/>
            <w:vAlign w:val="center"/>
          </w:tcPr>
          <w:p>
            <w:pPr>
              <w:adjustRightInd w:val="0"/>
              <w:snapToGrid w:val="0"/>
              <w:ind w:firstLine="0" w:firstLineChars="0"/>
              <w:jc w:val="center"/>
              <w:rPr>
                <w:rFonts w:hint="eastAsia" w:ascii="宋体" w:hAnsi="宋体" w:cs="宋体"/>
                <w:color w:val="auto"/>
              </w:rPr>
            </w:pPr>
          </w:p>
        </w:tc>
        <w:tc>
          <w:tcPr>
            <w:tcW w:w="823" w:type="pct"/>
            <w:vAlign w:val="center"/>
          </w:tcPr>
          <w:p>
            <w:pPr>
              <w:adjustRightInd w:val="0"/>
              <w:snapToGrid w:val="0"/>
              <w:ind w:firstLine="0" w:firstLineChars="0"/>
              <w:jc w:val="center"/>
              <w:rPr>
                <w:color w:val="auto"/>
              </w:rPr>
            </w:pPr>
            <w:r>
              <w:rPr>
                <w:rFonts w:hint="eastAsia"/>
                <w:color w:val="auto"/>
              </w:rPr>
              <w:t>粉料筒仓</w:t>
            </w:r>
          </w:p>
        </w:tc>
        <w:tc>
          <w:tcPr>
            <w:tcW w:w="619" w:type="pct"/>
            <w:vAlign w:val="center"/>
          </w:tcPr>
          <w:p>
            <w:pPr>
              <w:adjustRightInd w:val="0"/>
              <w:snapToGrid w:val="0"/>
              <w:ind w:firstLine="0" w:firstLineChars="0"/>
              <w:jc w:val="center"/>
              <w:rPr>
                <w:color w:val="auto"/>
              </w:rPr>
            </w:pPr>
            <w:r>
              <w:rPr>
                <w:rFonts w:hint="eastAsia"/>
                <w:color w:val="auto"/>
              </w:rPr>
              <w:t>颗粒物</w:t>
            </w:r>
          </w:p>
        </w:tc>
        <w:tc>
          <w:tcPr>
            <w:tcW w:w="1370" w:type="pct"/>
            <w:vAlign w:val="center"/>
          </w:tcPr>
          <w:p>
            <w:pPr>
              <w:ind w:firstLine="0" w:firstLineChars="0"/>
              <w:jc w:val="center"/>
              <w:rPr>
                <w:color w:val="auto"/>
              </w:rPr>
            </w:pPr>
            <w:r>
              <w:rPr>
                <w:rFonts w:hint="eastAsia" w:asciiTheme="minorEastAsia" w:hAnsiTheme="minorEastAsia" w:eastAsiaTheme="minorEastAsia" w:cstheme="minorEastAsia"/>
                <w:color w:val="auto"/>
              </w:rPr>
              <w:t>筒仓自带除尘器处理后排放</w:t>
            </w:r>
          </w:p>
        </w:tc>
        <w:tc>
          <w:tcPr>
            <w:tcW w:w="1419" w:type="pct"/>
            <w:vMerge w:val="continue"/>
            <w:vAlign w:val="center"/>
          </w:tcPr>
          <w:p>
            <w:pPr>
              <w:adjustRightInd w:val="0"/>
              <w:snapToGrid w:val="0"/>
              <w:ind w:firstLine="0" w:firstLineChars="0"/>
              <w:jc w:val="center"/>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767" w:type="pct"/>
            <w:vMerge w:val="continue"/>
            <w:vAlign w:val="center"/>
          </w:tcPr>
          <w:p>
            <w:pPr>
              <w:adjustRightInd w:val="0"/>
              <w:snapToGrid w:val="0"/>
              <w:ind w:firstLine="0" w:firstLineChars="0"/>
              <w:jc w:val="center"/>
              <w:rPr>
                <w:rFonts w:hint="eastAsia" w:ascii="宋体" w:hAnsi="宋体" w:cs="宋体"/>
                <w:color w:val="auto"/>
              </w:rPr>
            </w:pPr>
          </w:p>
        </w:tc>
        <w:tc>
          <w:tcPr>
            <w:tcW w:w="823" w:type="pct"/>
            <w:vAlign w:val="center"/>
          </w:tcPr>
          <w:p>
            <w:pPr>
              <w:adjustRightInd w:val="0"/>
              <w:snapToGrid w:val="0"/>
              <w:ind w:firstLine="0" w:firstLineChars="0"/>
              <w:jc w:val="center"/>
              <w:rPr>
                <w:color w:val="auto"/>
              </w:rPr>
            </w:pPr>
            <w:r>
              <w:rPr>
                <w:rFonts w:hint="eastAsia"/>
                <w:color w:val="auto"/>
              </w:rPr>
              <w:t>食堂油烟</w:t>
            </w:r>
          </w:p>
        </w:tc>
        <w:tc>
          <w:tcPr>
            <w:tcW w:w="619" w:type="pct"/>
            <w:vAlign w:val="center"/>
          </w:tcPr>
          <w:p>
            <w:pPr>
              <w:widowControl/>
              <w:ind w:firstLine="0" w:firstLineChars="0"/>
              <w:jc w:val="left"/>
              <w:rPr>
                <w:rFonts w:hint="eastAsia" w:ascii="宋体" w:hAnsi="宋体" w:cs="宋体"/>
                <w:color w:val="auto"/>
                <w:kern w:val="0"/>
                <w:lang w:bidi="ar"/>
              </w:rPr>
            </w:pPr>
            <w:r>
              <w:rPr>
                <w:rFonts w:hint="eastAsia"/>
                <w:color w:val="auto"/>
              </w:rPr>
              <w:t>油烟</w:t>
            </w:r>
          </w:p>
        </w:tc>
        <w:tc>
          <w:tcPr>
            <w:tcW w:w="1370" w:type="pct"/>
            <w:vAlign w:val="center"/>
          </w:tcPr>
          <w:p>
            <w:pPr>
              <w:adjustRightInd w:val="0"/>
              <w:snapToGrid w:val="0"/>
              <w:ind w:firstLine="0" w:firstLineChars="0"/>
              <w:jc w:val="center"/>
              <w:rPr>
                <w:color w:val="auto"/>
              </w:rPr>
            </w:pPr>
            <w:r>
              <w:rPr>
                <w:color w:val="auto"/>
              </w:rPr>
              <w:t>油烟净化设施对油烟进行处理后经专用排烟道排放</w:t>
            </w:r>
          </w:p>
        </w:tc>
        <w:tc>
          <w:tcPr>
            <w:tcW w:w="1419" w:type="pct"/>
            <w:vAlign w:val="center"/>
          </w:tcPr>
          <w:p>
            <w:pPr>
              <w:adjustRightInd w:val="0"/>
              <w:snapToGrid w:val="0"/>
              <w:spacing w:line="288" w:lineRule="auto"/>
              <w:ind w:firstLine="0" w:firstLineChars="0"/>
              <w:jc w:val="center"/>
              <w:rPr>
                <w:bCs/>
                <w:color w:val="auto"/>
              </w:rPr>
            </w:pPr>
            <w:r>
              <w:rPr>
                <w:rFonts w:hint="eastAsia"/>
                <w:color w:val="auto"/>
              </w:rPr>
              <w:t>《饮食业油烟排放标准》（GB18483-2001）小型标准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67" w:type="pct"/>
            <w:vMerge w:val="restart"/>
            <w:vAlign w:val="center"/>
          </w:tcPr>
          <w:p>
            <w:pPr>
              <w:adjustRightInd w:val="0"/>
              <w:snapToGrid w:val="0"/>
              <w:ind w:firstLine="0" w:firstLineChars="0"/>
              <w:jc w:val="center"/>
              <w:rPr>
                <w:rFonts w:hint="eastAsia" w:ascii="宋体" w:hAnsi="宋体" w:cs="宋体"/>
                <w:color w:val="auto"/>
              </w:rPr>
            </w:pPr>
            <w:r>
              <w:rPr>
                <w:rFonts w:hint="eastAsia" w:ascii="宋体" w:hAnsi="宋体" w:cs="宋体"/>
                <w:color w:val="auto"/>
              </w:rPr>
              <w:t>地表水环境</w:t>
            </w:r>
          </w:p>
        </w:tc>
        <w:tc>
          <w:tcPr>
            <w:tcW w:w="823" w:type="pct"/>
            <w:vAlign w:val="center"/>
          </w:tcPr>
          <w:p>
            <w:pPr>
              <w:adjustRightInd w:val="0"/>
              <w:snapToGrid w:val="0"/>
              <w:ind w:firstLine="0" w:firstLineChars="0"/>
              <w:jc w:val="center"/>
              <w:rPr>
                <w:color w:val="auto"/>
              </w:rPr>
            </w:pPr>
            <w:r>
              <w:rPr>
                <w:rFonts w:hint="eastAsia"/>
                <w:color w:val="auto"/>
              </w:rPr>
              <w:t>生活污水</w:t>
            </w:r>
          </w:p>
        </w:tc>
        <w:tc>
          <w:tcPr>
            <w:tcW w:w="619" w:type="pct"/>
            <w:vAlign w:val="center"/>
          </w:tcPr>
          <w:p>
            <w:pPr>
              <w:snapToGrid w:val="0"/>
              <w:ind w:firstLine="0" w:firstLineChars="0"/>
              <w:jc w:val="center"/>
              <w:rPr>
                <w:color w:val="auto"/>
              </w:rPr>
            </w:pPr>
            <w:r>
              <w:rPr>
                <w:rFonts w:hint="eastAsia"/>
                <w:color w:val="auto"/>
                <w:lang w:bidi="ar"/>
              </w:rPr>
              <w:t>pH、</w:t>
            </w:r>
            <w:r>
              <w:rPr>
                <w:color w:val="auto"/>
                <w:lang w:bidi="ar"/>
              </w:rPr>
              <w:t>化学需氧量、氨氮</w:t>
            </w:r>
            <w:r>
              <w:rPr>
                <w:rFonts w:hint="eastAsia"/>
                <w:color w:val="auto"/>
                <w:lang w:bidi="ar"/>
              </w:rPr>
              <w:t>、总磷</w:t>
            </w:r>
          </w:p>
        </w:tc>
        <w:tc>
          <w:tcPr>
            <w:tcW w:w="1370" w:type="pct"/>
            <w:vAlign w:val="center"/>
          </w:tcPr>
          <w:p>
            <w:pPr>
              <w:adjustRightInd w:val="0"/>
              <w:snapToGrid w:val="0"/>
              <w:ind w:firstLine="0" w:firstLineChars="0"/>
              <w:jc w:val="center"/>
              <w:rPr>
                <w:rFonts w:hint="eastAsia" w:ascii="宋体" w:hAnsi="宋体" w:cs="宋体"/>
                <w:color w:val="auto"/>
              </w:rPr>
            </w:pPr>
            <w:r>
              <w:rPr>
                <w:rFonts w:hint="eastAsia" w:ascii="宋体" w:hAnsi="宋体" w:cs="宋体"/>
                <w:color w:val="auto"/>
              </w:rPr>
              <w:t>食堂产生的废水经隔油器（1个30m</w:t>
            </w:r>
            <w:r>
              <w:rPr>
                <w:rFonts w:hint="eastAsia" w:ascii="宋体" w:hAnsi="宋体" w:cs="宋体"/>
                <w:color w:val="auto"/>
                <w:vertAlign w:val="superscript"/>
              </w:rPr>
              <w:t>3</w:t>
            </w:r>
            <w:r>
              <w:rPr>
                <w:rFonts w:hint="eastAsia" w:ascii="宋体" w:hAnsi="宋体" w:cs="宋体"/>
                <w:color w:val="auto"/>
              </w:rPr>
              <w:t>）处理后与生活污水一同经化粪池(玻璃钢化粪池2个，单个容积为50m</w:t>
            </w:r>
            <w:r>
              <w:rPr>
                <w:rFonts w:hint="eastAsia" w:ascii="宋体" w:hAnsi="宋体" w:cs="宋体"/>
                <w:color w:val="auto"/>
                <w:vertAlign w:val="superscript"/>
              </w:rPr>
              <w:t>3</w:t>
            </w:r>
            <w:r>
              <w:rPr>
                <w:rFonts w:hint="eastAsia" w:ascii="宋体" w:hAnsi="宋体" w:cs="宋体"/>
                <w:color w:val="auto"/>
              </w:rPr>
              <w:t>)预处理后排入园区污水管网</w:t>
            </w:r>
          </w:p>
        </w:tc>
        <w:tc>
          <w:tcPr>
            <w:tcW w:w="1419" w:type="pct"/>
            <w:vAlign w:val="center"/>
          </w:tcPr>
          <w:p>
            <w:pPr>
              <w:adjustRightInd w:val="0"/>
              <w:snapToGrid w:val="0"/>
              <w:ind w:firstLine="0" w:firstLineChars="0"/>
              <w:jc w:val="center"/>
              <w:rPr>
                <w:rFonts w:hint="eastAsia" w:ascii="宋体" w:hAnsi="宋体" w:cs="宋体"/>
                <w:color w:val="auto"/>
              </w:rPr>
            </w:pPr>
            <w:r>
              <w:rPr>
                <w:color w:val="auto"/>
              </w:rPr>
              <w:t>《污水排入城镇下水道水质标准》（GB/T31962-2015）中的B级标准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67" w:type="pct"/>
            <w:vMerge w:val="continue"/>
            <w:vAlign w:val="center"/>
          </w:tcPr>
          <w:p>
            <w:pPr>
              <w:adjustRightInd w:val="0"/>
              <w:snapToGrid w:val="0"/>
              <w:ind w:firstLine="0" w:firstLineChars="0"/>
              <w:jc w:val="center"/>
              <w:rPr>
                <w:rFonts w:hint="eastAsia" w:ascii="宋体" w:hAnsi="宋体" w:cs="宋体"/>
                <w:color w:val="auto"/>
              </w:rPr>
            </w:pPr>
          </w:p>
        </w:tc>
        <w:tc>
          <w:tcPr>
            <w:tcW w:w="823" w:type="pct"/>
            <w:vAlign w:val="center"/>
          </w:tcPr>
          <w:p>
            <w:pPr>
              <w:adjustRightInd w:val="0"/>
              <w:snapToGrid w:val="0"/>
              <w:ind w:firstLine="0" w:firstLineChars="0"/>
              <w:jc w:val="center"/>
              <w:rPr>
                <w:color w:val="auto"/>
              </w:rPr>
            </w:pPr>
            <w:r>
              <w:rPr>
                <w:rFonts w:hint="eastAsia"/>
                <w:color w:val="auto"/>
              </w:rPr>
              <w:t>初期雨水</w:t>
            </w:r>
          </w:p>
        </w:tc>
        <w:tc>
          <w:tcPr>
            <w:tcW w:w="619" w:type="pct"/>
            <w:vAlign w:val="center"/>
          </w:tcPr>
          <w:p>
            <w:pPr>
              <w:snapToGrid w:val="0"/>
              <w:ind w:firstLine="0" w:firstLineChars="0"/>
              <w:jc w:val="center"/>
              <w:rPr>
                <w:color w:val="auto"/>
                <w:lang w:bidi="ar"/>
              </w:rPr>
            </w:pPr>
            <w:r>
              <w:rPr>
                <w:rFonts w:hint="eastAsia"/>
                <w:color w:val="auto"/>
                <w:lang w:bidi="ar"/>
              </w:rPr>
              <w:t>SS</w:t>
            </w:r>
          </w:p>
        </w:tc>
        <w:tc>
          <w:tcPr>
            <w:tcW w:w="1370" w:type="pct"/>
            <w:vAlign w:val="center"/>
          </w:tcPr>
          <w:p>
            <w:pPr>
              <w:ind w:firstLine="0" w:firstLineChars="0"/>
              <w:jc w:val="center"/>
              <w:rPr>
                <w:rFonts w:hint="eastAsia" w:ascii="宋体" w:hAnsi="宋体" w:cs="宋体"/>
                <w:color w:val="auto"/>
              </w:rPr>
            </w:pPr>
            <w:r>
              <w:rPr>
                <w:rFonts w:hint="eastAsia" w:ascii="宋体" w:hAnsi="宋体" w:cs="宋体"/>
                <w:color w:val="auto"/>
              </w:rPr>
              <w:t>在厂区东南角，地势最低处设置初期雨水收集池一座，</w:t>
            </w:r>
            <w:r>
              <w:rPr>
                <w:rFonts w:hint="eastAsia"/>
                <w:color w:val="auto"/>
              </w:rPr>
              <w:t>初期雨水收集池容积90</w:t>
            </w:r>
            <w:r>
              <w:rPr>
                <w:color w:val="auto"/>
              </w:rPr>
              <w:t>m</w:t>
            </w:r>
            <w:r>
              <w:rPr>
                <w:color w:val="auto"/>
                <w:vertAlign w:val="superscript"/>
              </w:rPr>
              <w:t>3</w:t>
            </w:r>
            <w:r>
              <w:rPr>
                <w:rFonts w:hint="eastAsia"/>
                <w:color w:val="auto"/>
              </w:rPr>
              <w:t>，池底及池壁均使用HDPE进行防渗</w:t>
            </w:r>
          </w:p>
        </w:tc>
        <w:tc>
          <w:tcPr>
            <w:tcW w:w="1419" w:type="pct"/>
            <w:vAlign w:val="center"/>
          </w:tcPr>
          <w:p>
            <w:pPr>
              <w:adjustRightInd w:val="0"/>
              <w:snapToGrid w:val="0"/>
              <w:ind w:firstLine="0" w:firstLineChars="0"/>
              <w:jc w:val="center"/>
              <w:rPr>
                <w:color w:val="auto"/>
              </w:rPr>
            </w:pPr>
            <w:r>
              <w:rPr>
                <w:rFonts w:hint="eastAsia"/>
                <w:color w:val="auto"/>
              </w:rPr>
              <w:t>回用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67" w:type="pct"/>
            <w:vMerge w:val="continue"/>
            <w:vAlign w:val="center"/>
          </w:tcPr>
          <w:p>
            <w:pPr>
              <w:adjustRightInd w:val="0"/>
              <w:snapToGrid w:val="0"/>
              <w:ind w:firstLine="0" w:firstLineChars="0"/>
              <w:jc w:val="center"/>
              <w:rPr>
                <w:rFonts w:hint="eastAsia" w:ascii="宋体" w:hAnsi="宋体" w:cs="宋体"/>
                <w:color w:val="auto"/>
              </w:rPr>
            </w:pPr>
          </w:p>
        </w:tc>
        <w:tc>
          <w:tcPr>
            <w:tcW w:w="823" w:type="pct"/>
            <w:vAlign w:val="center"/>
          </w:tcPr>
          <w:p>
            <w:pPr>
              <w:adjustRightInd w:val="0"/>
              <w:snapToGrid w:val="0"/>
              <w:ind w:firstLine="0" w:firstLineChars="0"/>
              <w:jc w:val="center"/>
              <w:rPr>
                <w:color w:val="auto"/>
              </w:rPr>
            </w:pPr>
            <w:r>
              <w:rPr>
                <w:rFonts w:hint="eastAsia"/>
                <w:color w:val="auto"/>
              </w:rPr>
              <w:t>车辆清洗废水</w:t>
            </w:r>
          </w:p>
        </w:tc>
        <w:tc>
          <w:tcPr>
            <w:tcW w:w="619" w:type="pct"/>
            <w:vAlign w:val="center"/>
          </w:tcPr>
          <w:p>
            <w:pPr>
              <w:snapToGrid w:val="0"/>
              <w:ind w:firstLine="0" w:firstLineChars="0"/>
              <w:jc w:val="center"/>
              <w:rPr>
                <w:color w:val="auto"/>
                <w:lang w:bidi="ar"/>
              </w:rPr>
            </w:pPr>
            <w:r>
              <w:rPr>
                <w:rFonts w:hint="eastAsia"/>
                <w:color w:val="auto"/>
                <w:lang w:bidi="ar"/>
              </w:rPr>
              <w:t>SS</w:t>
            </w:r>
          </w:p>
        </w:tc>
        <w:tc>
          <w:tcPr>
            <w:tcW w:w="1370" w:type="pct"/>
            <w:vAlign w:val="center"/>
          </w:tcPr>
          <w:p>
            <w:pPr>
              <w:ind w:firstLine="0" w:firstLineChars="0"/>
              <w:jc w:val="center"/>
              <w:rPr>
                <w:rFonts w:hint="eastAsia" w:ascii="宋体" w:hAnsi="宋体" w:cs="宋体"/>
                <w:color w:val="auto"/>
              </w:rPr>
            </w:pPr>
            <w:r>
              <w:rPr>
                <w:rFonts w:hint="eastAsia"/>
                <w:color w:val="auto"/>
                <w:spacing w:val="1"/>
              </w:rPr>
              <w:t>在洗车平台处设置</w:t>
            </w:r>
            <w:r>
              <w:rPr>
                <w:color w:val="auto"/>
                <w:spacing w:val="1"/>
              </w:rPr>
              <w:t>沉淀池</w:t>
            </w:r>
            <w:r>
              <w:rPr>
                <w:rFonts w:hint="eastAsia"/>
                <w:color w:val="auto"/>
                <w:spacing w:val="1"/>
              </w:rPr>
              <w:t>一座，容积为3m</w:t>
            </w:r>
            <w:r>
              <w:rPr>
                <w:rFonts w:hint="eastAsia"/>
                <w:color w:val="auto"/>
                <w:spacing w:val="1"/>
                <w:vertAlign w:val="superscript"/>
              </w:rPr>
              <w:t>3</w:t>
            </w:r>
            <w:r>
              <w:rPr>
                <w:rFonts w:hint="eastAsia"/>
                <w:color w:val="auto"/>
                <w:spacing w:val="1"/>
              </w:rPr>
              <w:t>，混凝土浇筑</w:t>
            </w:r>
          </w:p>
        </w:tc>
        <w:tc>
          <w:tcPr>
            <w:tcW w:w="1419" w:type="pct"/>
            <w:vAlign w:val="center"/>
          </w:tcPr>
          <w:p>
            <w:pPr>
              <w:adjustRightInd w:val="0"/>
              <w:snapToGrid w:val="0"/>
              <w:ind w:firstLine="0" w:firstLineChars="0"/>
              <w:jc w:val="center"/>
              <w:rPr>
                <w:color w:val="auto"/>
              </w:rPr>
            </w:pPr>
            <w:r>
              <w:rPr>
                <w:rFonts w:hint="eastAsia"/>
                <w:color w:val="auto"/>
              </w:rPr>
              <w:t>回用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67" w:type="pct"/>
            <w:vAlign w:val="center"/>
          </w:tcPr>
          <w:p>
            <w:pPr>
              <w:adjustRightInd w:val="0"/>
              <w:snapToGrid w:val="0"/>
              <w:ind w:firstLine="0" w:firstLineChars="0"/>
              <w:jc w:val="center"/>
              <w:rPr>
                <w:rFonts w:hint="eastAsia" w:ascii="宋体" w:hAnsi="宋体" w:cs="宋体"/>
                <w:color w:val="auto"/>
              </w:rPr>
            </w:pPr>
            <w:r>
              <w:rPr>
                <w:rFonts w:hint="eastAsia" w:ascii="宋体" w:hAnsi="宋体" w:cs="宋体"/>
                <w:color w:val="auto"/>
              </w:rPr>
              <w:t>声环境</w:t>
            </w:r>
          </w:p>
        </w:tc>
        <w:tc>
          <w:tcPr>
            <w:tcW w:w="823" w:type="pct"/>
            <w:vAlign w:val="center"/>
          </w:tcPr>
          <w:p>
            <w:pPr>
              <w:adjustRightInd w:val="0"/>
              <w:snapToGrid w:val="0"/>
              <w:ind w:firstLine="0" w:firstLineChars="0"/>
              <w:jc w:val="center"/>
              <w:rPr>
                <w:rFonts w:hint="eastAsia" w:ascii="宋体" w:hAnsi="宋体" w:cs="宋体"/>
                <w:color w:val="auto"/>
              </w:rPr>
            </w:pPr>
            <w:r>
              <w:rPr>
                <w:rFonts w:hint="eastAsia" w:ascii="宋体" w:hAnsi="宋体" w:cs="宋体"/>
                <w:color w:val="auto"/>
              </w:rPr>
              <w:t>锅炉、搅拌站、烘干筒等高噪声设备</w:t>
            </w:r>
          </w:p>
        </w:tc>
        <w:tc>
          <w:tcPr>
            <w:tcW w:w="619" w:type="pct"/>
            <w:vAlign w:val="center"/>
          </w:tcPr>
          <w:p>
            <w:pPr>
              <w:adjustRightInd w:val="0"/>
              <w:snapToGrid w:val="0"/>
              <w:ind w:firstLine="0" w:firstLineChars="0"/>
              <w:jc w:val="center"/>
              <w:rPr>
                <w:rFonts w:hint="eastAsia" w:ascii="宋体" w:hAnsi="宋体" w:cs="宋体"/>
                <w:color w:val="auto"/>
              </w:rPr>
            </w:pPr>
            <w:r>
              <w:rPr>
                <w:rFonts w:hint="eastAsia" w:ascii="宋体" w:hAnsi="宋体" w:cs="宋体"/>
                <w:color w:val="auto"/>
              </w:rPr>
              <w:t>噪声</w:t>
            </w:r>
          </w:p>
        </w:tc>
        <w:tc>
          <w:tcPr>
            <w:tcW w:w="1370" w:type="pct"/>
            <w:vAlign w:val="center"/>
          </w:tcPr>
          <w:p>
            <w:pPr>
              <w:adjustRightInd w:val="0"/>
              <w:snapToGrid w:val="0"/>
              <w:ind w:firstLine="0" w:firstLineChars="0"/>
              <w:jc w:val="center"/>
              <w:rPr>
                <w:rFonts w:hint="eastAsia" w:ascii="宋体" w:hAnsi="宋体" w:cs="宋体"/>
                <w:color w:val="auto"/>
              </w:rPr>
            </w:pPr>
            <w:r>
              <w:rPr>
                <w:color w:val="auto"/>
              </w:rPr>
              <w:t>减振措施、车间隔声、定期维护</w:t>
            </w:r>
          </w:p>
        </w:tc>
        <w:tc>
          <w:tcPr>
            <w:tcW w:w="1419" w:type="pct"/>
            <w:vAlign w:val="center"/>
          </w:tcPr>
          <w:p>
            <w:pPr>
              <w:adjustRightInd w:val="0"/>
              <w:snapToGrid w:val="0"/>
              <w:ind w:firstLine="0" w:firstLineChars="0"/>
              <w:jc w:val="center"/>
              <w:rPr>
                <w:rFonts w:hint="eastAsia" w:ascii="宋体" w:hAnsi="宋体" w:cs="宋体"/>
                <w:color w:val="auto"/>
              </w:rPr>
            </w:pPr>
            <w:r>
              <w:rPr>
                <w:rFonts w:hint="eastAsia"/>
                <w:bCs/>
                <w:color w:val="auto"/>
              </w:rPr>
              <w:t>满足《工业企业厂界环境噪声排放标准》（GB12348-2008）3类标准要求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7" w:type="pct"/>
            <w:vMerge w:val="restart"/>
            <w:vAlign w:val="center"/>
          </w:tcPr>
          <w:p>
            <w:pPr>
              <w:adjustRightInd w:val="0"/>
              <w:snapToGrid w:val="0"/>
              <w:ind w:firstLine="0" w:firstLineChars="0"/>
              <w:jc w:val="center"/>
              <w:rPr>
                <w:rFonts w:hint="eastAsia" w:ascii="宋体" w:hAnsi="宋体" w:cs="宋体"/>
                <w:color w:val="auto"/>
              </w:rPr>
            </w:pPr>
            <w:r>
              <w:rPr>
                <w:rFonts w:hint="eastAsia" w:ascii="宋体" w:hAnsi="宋体" w:cs="宋体"/>
                <w:color w:val="auto"/>
              </w:rPr>
              <w:t>固体废物</w:t>
            </w:r>
          </w:p>
        </w:tc>
        <w:tc>
          <w:tcPr>
            <w:tcW w:w="823" w:type="pct"/>
            <w:vAlign w:val="center"/>
          </w:tcPr>
          <w:p>
            <w:pPr>
              <w:pStyle w:val="40"/>
              <w:snapToGrid w:val="0"/>
              <w:ind w:firstLine="0" w:firstLineChars="0"/>
              <w:jc w:val="center"/>
              <w:rPr>
                <w:rFonts w:hint="eastAsia" w:cs="宋体"/>
                <w:color w:val="auto"/>
                <w:szCs w:val="24"/>
              </w:rPr>
            </w:pPr>
            <w:r>
              <w:rPr>
                <w:rFonts w:hint="eastAsia"/>
                <w:color w:val="auto"/>
                <w:szCs w:val="24"/>
              </w:rPr>
              <w:t>生产</w:t>
            </w:r>
          </w:p>
        </w:tc>
        <w:tc>
          <w:tcPr>
            <w:tcW w:w="619" w:type="pct"/>
            <w:vAlign w:val="center"/>
          </w:tcPr>
          <w:p>
            <w:pPr>
              <w:snapToGrid w:val="0"/>
              <w:ind w:firstLine="0" w:firstLineChars="0"/>
              <w:jc w:val="center"/>
              <w:rPr>
                <w:color w:val="auto"/>
              </w:rPr>
            </w:pPr>
            <w:r>
              <w:rPr>
                <w:color w:val="auto"/>
              </w:rPr>
              <w:t>废</w:t>
            </w:r>
            <w:r>
              <w:rPr>
                <w:rFonts w:hint="eastAsia"/>
                <w:color w:val="auto"/>
              </w:rPr>
              <w:t>骨料</w:t>
            </w:r>
          </w:p>
        </w:tc>
        <w:tc>
          <w:tcPr>
            <w:tcW w:w="1370" w:type="pct"/>
            <w:vMerge w:val="restart"/>
            <w:vAlign w:val="center"/>
          </w:tcPr>
          <w:p>
            <w:pPr>
              <w:ind w:firstLine="0" w:firstLineChars="0"/>
              <w:jc w:val="center"/>
              <w:rPr>
                <w:color w:val="auto"/>
              </w:rPr>
            </w:pPr>
            <w:r>
              <w:rPr>
                <w:color w:val="auto"/>
              </w:rPr>
              <w:t>收集后外售</w:t>
            </w:r>
            <w:r>
              <w:rPr>
                <w:rFonts w:hint="eastAsia"/>
                <w:color w:val="auto"/>
              </w:rPr>
              <w:t>、</w:t>
            </w:r>
            <w:r>
              <w:rPr>
                <w:color w:val="auto"/>
              </w:rPr>
              <w:t>综合利用</w:t>
            </w:r>
          </w:p>
        </w:tc>
        <w:tc>
          <w:tcPr>
            <w:tcW w:w="1419" w:type="pct"/>
            <w:vMerge w:val="restart"/>
            <w:vAlign w:val="center"/>
          </w:tcPr>
          <w:p>
            <w:pPr>
              <w:adjustRightInd w:val="0"/>
              <w:snapToGrid w:val="0"/>
              <w:ind w:firstLine="0" w:firstLineChars="0"/>
              <w:jc w:val="center"/>
              <w:rPr>
                <w:color w:val="auto"/>
                <w:shd w:val="clear" w:color="auto" w:fill="FCFCFC"/>
              </w:rPr>
            </w:pPr>
            <w:r>
              <w:rPr>
                <w:rFonts w:hint="eastAsia"/>
                <w:bCs/>
                <w:color w:val="auto"/>
              </w:rPr>
              <w:t>得到有效处置和利用，对周围环境影响较小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7" w:type="pct"/>
            <w:vMerge w:val="continue"/>
            <w:vAlign w:val="center"/>
          </w:tcPr>
          <w:p>
            <w:pPr>
              <w:adjustRightInd w:val="0"/>
              <w:snapToGrid w:val="0"/>
              <w:ind w:firstLine="0" w:firstLineChars="0"/>
              <w:jc w:val="center"/>
              <w:rPr>
                <w:rFonts w:hint="eastAsia" w:ascii="宋体" w:hAnsi="宋体" w:cs="宋体"/>
                <w:color w:val="auto"/>
              </w:rPr>
            </w:pPr>
          </w:p>
        </w:tc>
        <w:tc>
          <w:tcPr>
            <w:tcW w:w="823" w:type="pct"/>
            <w:vAlign w:val="center"/>
          </w:tcPr>
          <w:p>
            <w:pPr>
              <w:pStyle w:val="40"/>
              <w:snapToGrid w:val="0"/>
              <w:ind w:firstLine="0" w:firstLineChars="0"/>
              <w:jc w:val="center"/>
              <w:rPr>
                <w:rFonts w:hint="eastAsia"/>
                <w:color w:val="auto"/>
                <w:szCs w:val="24"/>
              </w:rPr>
            </w:pPr>
            <w:r>
              <w:rPr>
                <w:rFonts w:hint="eastAsia"/>
                <w:color w:val="auto"/>
                <w:szCs w:val="24"/>
              </w:rPr>
              <w:t>废水处理</w:t>
            </w:r>
          </w:p>
        </w:tc>
        <w:tc>
          <w:tcPr>
            <w:tcW w:w="619" w:type="pct"/>
            <w:vAlign w:val="center"/>
          </w:tcPr>
          <w:p>
            <w:pPr>
              <w:snapToGrid w:val="0"/>
              <w:ind w:firstLine="0" w:firstLineChars="0"/>
              <w:jc w:val="center"/>
              <w:rPr>
                <w:color w:val="auto"/>
              </w:rPr>
            </w:pPr>
            <w:r>
              <w:rPr>
                <w:rFonts w:hint="eastAsia"/>
                <w:color w:val="auto"/>
              </w:rPr>
              <w:t>污泥</w:t>
            </w:r>
          </w:p>
        </w:tc>
        <w:tc>
          <w:tcPr>
            <w:tcW w:w="1370" w:type="pct"/>
            <w:vMerge w:val="continue"/>
            <w:vAlign w:val="center"/>
          </w:tcPr>
          <w:p>
            <w:pPr>
              <w:snapToGrid w:val="0"/>
              <w:ind w:firstLine="0" w:firstLineChars="0"/>
              <w:jc w:val="center"/>
              <w:rPr>
                <w:color w:val="auto"/>
              </w:rPr>
            </w:pPr>
          </w:p>
        </w:tc>
        <w:tc>
          <w:tcPr>
            <w:tcW w:w="1419" w:type="pct"/>
            <w:vMerge w:val="continue"/>
            <w:vAlign w:val="center"/>
          </w:tcPr>
          <w:p>
            <w:pPr>
              <w:adjustRightInd w:val="0"/>
              <w:snapToGrid w:val="0"/>
              <w:ind w:firstLine="0" w:firstLineChars="0"/>
              <w:jc w:val="center"/>
              <w:rPr>
                <w:bCs/>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67" w:type="pct"/>
            <w:vMerge w:val="continue"/>
            <w:vAlign w:val="center"/>
          </w:tcPr>
          <w:p>
            <w:pPr>
              <w:adjustRightInd w:val="0"/>
              <w:snapToGrid w:val="0"/>
              <w:ind w:firstLine="0" w:firstLineChars="0"/>
              <w:jc w:val="center"/>
              <w:rPr>
                <w:rFonts w:hint="eastAsia" w:ascii="宋体" w:hAnsi="宋体" w:cs="宋体"/>
                <w:color w:val="auto"/>
              </w:rPr>
            </w:pPr>
          </w:p>
        </w:tc>
        <w:tc>
          <w:tcPr>
            <w:tcW w:w="823" w:type="pct"/>
            <w:vAlign w:val="center"/>
          </w:tcPr>
          <w:p>
            <w:pPr>
              <w:adjustRightInd w:val="0"/>
              <w:snapToGrid w:val="0"/>
              <w:ind w:firstLine="0" w:firstLineChars="0"/>
              <w:contextualSpacing/>
              <w:jc w:val="center"/>
              <w:rPr>
                <w:rFonts w:hint="eastAsia" w:ascii="宋体" w:hAnsi="宋体" w:cs="宋体"/>
                <w:color w:val="auto"/>
              </w:rPr>
            </w:pPr>
            <w:r>
              <w:rPr>
                <w:rFonts w:hint="eastAsia"/>
                <w:color w:val="auto"/>
              </w:rPr>
              <w:t>员工生活</w:t>
            </w:r>
          </w:p>
        </w:tc>
        <w:tc>
          <w:tcPr>
            <w:tcW w:w="619" w:type="pct"/>
            <w:vAlign w:val="center"/>
          </w:tcPr>
          <w:p>
            <w:pPr>
              <w:snapToGrid w:val="0"/>
              <w:ind w:firstLine="0" w:firstLineChars="0"/>
              <w:jc w:val="center"/>
              <w:rPr>
                <w:color w:val="auto"/>
              </w:rPr>
            </w:pPr>
            <w:r>
              <w:rPr>
                <w:color w:val="auto"/>
              </w:rPr>
              <w:t>生活垃圾</w:t>
            </w:r>
          </w:p>
        </w:tc>
        <w:tc>
          <w:tcPr>
            <w:tcW w:w="1370" w:type="pct"/>
            <w:vAlign w:val="center"/>
          </w:tcPr>
          <w:p>
            <w:pPr>
              <w:ind w:firstLine="0" w:firstLineChars="0"/>
              <w:jc w:val="center"/>
              <w:rPr>
                <w:color w:val="auto"/>
              </w:rPr>
            </w:pPr>
            <w:r>
              <w:rPr>
                <w:rFonts w:hint="eastAsia"/>
                <w:color w:val="auto"/>
              </w:rPr>
              <w:t>收集后运至城建部门指定地点处置</w:t>
            </w:r>
          </w:p>
        </w:tc>
        <w:tc>
          <w:tcPr>
            <w:tcW w:w="1419" w:type="pct"/>
            <w:vMerge w:val="continue"/>
            <w:vAlign w:val="center"/>
          </w:tcPr>
          <w:p>
            <w:pPr>
              <w:adjustRightInd w:val="0"/>
              <w:snapToGrid w:val="0"/>
              <w:ind w:firstLine="0" w:firstLineChars="0"/>
              <w:jc w:val="center"/>
              <w:rPr>
                <w:color w:val="auto"/>
                <w:shd w:val="clear" w:color="auto" w:fill="FCFCFC"/>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67" w:type="pct"/>
            <w:vMerge w:val="continue"/>
            <w:vAlign w:val="center"/>
          </w:tcPr>
          <w:p>
            <w:pPr>
              <w:adjustRightInd w:val="0"/>
              <w:snapToGrid w:val="0"/>
              <w:ind w:firstLine="0" w:firstLineChars="0"/>
              <w:jc w:val="center"/>
              <w:rPr>
                <w:rFonts w:hint="eastAsia" w:ascii="宋体" w:hAnsi="宋体" w:cs="宋体"/>
                <w:color w:val="auto"/>
              </w:rPr>
            </w:pPr>
          </w:p>
        </w:tc>
        <w:tc>
          <w:tcPr>
            <w:tcW w:w="823" w:type="pct"/>
            <w:vAlign w:val="center"/>
          </w:tcPr>
          <w:p>
            <w:pPr>
              <w:adjustRightInd w:val="0"/>
              <w:snapToGrid w:val="0"/>
              <w:ind w:firstLine="0" w:firstLineChars="0"/>
              <w:contextualSpacing/>
              <w:jc w:val="center"/>
              <w:rPr>
                <w:color w:val="auto"/>
              </w:rPr>
            </w:pPr>
            <w:r>
              <w:rPr>
                <w:rFonts w:hint="eastAsia"/>
                <w:color w:val="auto"/>
              </w:rPr>
              <w:t>除尘器</w:t>
            </w:r>
          </w:p>
        </w:tc>
        <w:tc>
          <w:tcPr>
            <w:tcW w:w="619" w:type="pct"/>
            <w:vAlign w:val="center"/>
          </w:tcPr>
          <w:p>
            <w:pPr>
              <w:snapToGrid w:val="0"/>
              <w:ind w:firstLine="0" w:firstLineChars="0"/>
              <w:jc w:val="center"/>
              <w:rPr>
                <w:color w:val="auto"/>
              </w:rPr>
            </w:pPr>
            <w:r>
              <w:rPr>
                <w:rFonts w:hint="eastAsia"/>
                <w:color w:val="auto"/>
              </w:rPr>
              <w:t>除尘灰</w:t>
            </w:r>
          </w:p>
        </w:tc>
        <w:tc>
          <w:tcPr>
            <w:tcW w:w="1370" w:type="pct"/>
            <w:vAlign w:val="center"/>
          </w:tcPr>
          <w:p>
            <w:pPr>
              <w:ind w:firstLine="0" w:firstLineChars="0"/>
              <w:jc w:val="center"/>
              <w:rPr>
                <w:color w:val="auto"/>
              </w:rPr>
            </w:pPr>
            <w:r>
              <w:rPr>
                <w:rFonts w:hint="eastAsia"/>
                <w:color w:val="auto"/>
              </w:rPr>
              <w:t>作为原料回用</w:t>
            </w:r>
          </w:p>
        </w:tc>
        <w:tc>
          <w:tcPr>
            <w:tcW w:w="1419" w:type="pct"/>
            <w:vMerge w:val="continue"/>
            <w:vAlign w:val="center"/>
          </w:tcPr>
          <w:p>
            <w:pPr>
              <w:adjustRightInd w:val="0"/>
              <w:snapToGrid w:val="0"/>
              <w:ind w:firstLine="0" w:firstLineChars="0"/>
              <w:jc w:val="center"/>
              <w:rPr>
                <w:color w:val="auto"/>
                <w:shd w:val="clear" w:color="auto" w:fill="FCFCFC"/>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7" w:type="pct"/>
            <w:vMerge w:val="continue"/>
            <w:vAlign w:val="center"/>
          </w:tcPr>
          <w:p>
            <w:pPr>
              <w:adjustRightInd w:val="0"/>
              <w:snapToGrid w:val="0"/>
              <w:ind w:firstLine="0" w:firstLineChars="0"/>
              <w:jc w:val="center"/>
              <w:rPr>
                <w:rFonts w:hint="eastAsia" w:ascii="宋体" w:hAnsi="宋体" w:cs="宋体"/>
                <w:color w:val="auto"/>
              </w:rPr>
            </w:pPr>
          </w:p>
        </w:tc>
        <w:tc>
          <w:tcPr>
            <w:tcW w:w="823" w:type="pct"/>
            <w:vMerge w:val="restart"/>
            <w:vAlign w:val="center"/>
          </w:tcPr>
          <w:p>
            <w:pPr>
              <w:adjustRightInd w:val="0"/>
              <w:snapToGrid w:val="0"/>
              <w:ind w:firstLine="0" w:firstLineChars="0"/>
              <w:contextualSpacing/>
              <w:jc w:val="center"/>
              <w:rPr>
                <w:color w:val="auto"/>
              </w:rPr>
            </w:pPr>
            <w:r>
              <w:rPr>
                <w:rFonts w:hint="eastAsia"/>
                <w:color w:val="auto"/>
              </w:rPr>
              <w:t>废气处理</w:t>
            </w:r>
          </w:p>
        </w:tc>
        <w:tc>
          <w:tcPr>
            <w:tcW w:w="619" w:type="pct"/>
            <w:vAlign w:val="center"/>
          </w:tcPr>
          <w:p>
            <w:pPr>
              <w:snapToGrid w:val="0"/>
              <w:ind w:firstLine="0" w:firstLineChars="0"/>
              <w:jc w:val="center"/>
              <w:rPr>
                <w:color w:val="auto"/>
              </w:rPr>
            </w:pPr>
            <w:r>
              <w:rPr>
                <w:color w:val="auto"/>
              </w:rPr>
              <w:t>废活性炭</w:t>
            </w:r>
          </w:p>
        </w:tc>
        <w:tc>
          <w:tcPr>
            <w:tcW w:w="1370" w:type="pct"/>
            <w:vMerge w:val="restart"/>
            <w:vAlign w:val="center"/>
          </w:tcPr>
          <w:p>
            <w:pPr>
              <w:ind w:firstLine="0" w:firstLineChars="0"/>
              <w:jc w:val="center"/>
              <w:rPr>
                <w:color w:val="auto"/>
                <w:kern w:val="0"/>
              </w:rPr>
            </w:pPr>
            <w:r>
              <w:rPr>
                <w:rFonts w:hint="eastAsia"/>
                <w:color w:val="auto"/>
              </w:rPr>
              <w:t>暂存于危废暂存间，委托资质单位处理</w:t>
            </w:r>
          </w:p>
        </w:tc>
        <w:tc>
          <w:tcPr>
            <w:tcW w:w="1419" w:type="pct"/>
            <w:vMerge w:val="restart"/>
            <w:vAlign w:val="center"/>
          </w:tcPr>
          <w:p>
            <w:pPr>
              <w:adjustRightInd w:val="0"/>
              <w:snapToGrid w:val="0"/>
              <w:ind w:firstLine="0" w:firstLineChars="0"/>
              <w:jc w:val="center"/>
              <w:rPr>
                <w:color w:val="auto"/>
                <w:shd w:val="clear" w:color="auto" w:fill="FCFCFC"/>
              </w:rPr>
            </w:pPr>
            <w:r>
              <w:rPr>
                <w:rFonts w:hint="eastAsia" w:cs="宋体"/>
                <w:color w:val="auto"/>
                <w:kern w:val="0"/>
              </w:rPr>
              <w:t>《危险废物贮存污染控制标准》（GB18597-2023）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7" w:type="pct"/>
            <w:vMerge w:val="continue"/>
            <w:vAlign w:val="center"/>
          </w:tcPr>
          <w:p>
            <w:pPr>
              <w:adjustRightInd w:val="0"/>
              <w:snapToGrid w:val="0"/>
              <w:ind w:firstLine="0" w:firstLineChars="0"/>
              <w:jc w:val="center"/>
              <w:rPr>
                <w:rFonts w:hint="eastAsia" w:ascii="宋体" w:hAnsi="宋体" w:cs="宋体"/>
                <w:color w:val="auto"/>
              </w:rPr>
            </w:pPr>
          </w:p>
        </w:tc>
        <w:tc>
          <w:tcPr>
            <w:tcW w:w="823" w:type="pct"/>
            <w:vMerge w:val="continue"/>
            <w:vAlign w:val="center"/>
          </w:tcPr>
          <w:p>
            <w:pPr>
              <w:adjustRightInd w:val="0"/>
              <w:snapToGrid w:val="0"/>
              <w:ind w:firstLine="0" w:firstLineChars="0"/>
              <w:contextualSpacing/>
              <w:jc w:val="center"/>
              <w:rPr>
                <w:color w:val="auto"/>
              </w:rPr>
            </w:pPr>
          </w:p>
        </w:tc>
        <w:tc>
          <w:tcPr>
            <w:tcW w:w="619" w:type="pct"/>
            <w:vAlign w:val="center"/>
          </w:tcPr>
          <w:p>
            <w:pPr>
              <w:snapToGrid w:val="0"/>
              <w:ind w:firstLine="0" w:firstLineChars="0"/>
              <w:rPr>
                <w:color w:val="auto"/>
              </w:rPr>
            </w:pPr>
            <w:r>
              <w:rPr>
                <w:rFonts w:hint="eastAsia"/>
                <w:color w:val="auto"/>
              </w:rPr>
              <w:t>电捕焦油</w:t>
            </w:r>
          </w:p>
        </w:tc>
        <w:tc>
          <w:tcPr>
            <w:tcW w:w="1370" w:type="pct"/>
            <w:vMerge w:val="continue"/>
            <w:vAlign w:val="center"/>
          </w:tcPr>
          <w:p>
            <w:pPr>
              <w:ind w:firstLine="0" w:firstLineChars="0"/>
              <w:jc w:val="center"/>
              <w:rPr>
                <w:color w:val="auto"/>
              </w:rPr>
            </w:pPr>
          </w:p>
        </w:tc>
        <w:tc>
          <w:tcPr>
            <w:tcW w:w="1419" w:type="pct"/>
            <w:vMerge w:val="continue"/>
            <w:vAlign w:val="center"/>
          </w:tcPr>
          <w:p>
            <w:pPr>
              <w:adjustRightInd w:val="0"/>
              <w:snapToGrid w:val="0"/>
              <w:ind w:firstLine="0" w:firstLineChars="0"/>
              <w:jc w:val="center"/>
              <w:rPr>
                <w:rFonts w:cs="宋体"/>
                <w:color w:val="auto"/>
                <w:kern w:val="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67" w:type="pct"/>
            <w:vMerge w:val="continue"/>
            <w:vAlign w:val="center"/>
          </w:tcPr>
          <w:p>
            <w:pPr>
              <w:adjustRightInd w:val="0"/>
              <w:snapToGrid w:val="0"/>
              <w:ind w:firstLine="0" w:firstLineChars="0"/>
              <w:jc w:val="center"/>
              <w:rPr>
                <w:rFonts w:hint="eastAsia" w:ascii="宋体" w:hAnsi="宋体" w:cs="宋体"/>
                <w:color w:val="auto"/>
              </w:rPr>
            </w:pPr>
          </w:p>
        </w:tc>
        <w:tc>
          <w:tcPr>
            <w:tcW w:w="823" w:type="pct"/>
            <w:vAlign w:val="center"/>
          </w:tcPr>
          <w:p>
            <w:pPr>
              <w:pStyle w:val="40"/>
              <w:snapToGrid w:val="0"/>
              <w:ind w:firstLine="0" w:firstLineChars="0"/>
              <w:jc w:val="center"/>
              <w:rPr>
                <w:rFonts w:hint="eastAsia" w:cs="宋体"/>
                <w:color w:val="auto"/>
                <w:szCs w:val="24"/>
              </w:rPr>
            </w:pPr>
            <w:r>
              <w:rPr>
                <w:rFonts w:hint="eastAsia" w:cs="宋体"/>
                <w:color w:val="auto"/>
                <w:szCs w:val="24"/>
              </w:rPr>
              <w:t>供热</w:t>
            </w:r>
          </w:p>
        </w:tc>
        <w:tc>
          <w:tcPr>
            <w:tcW w:w="619" w:type="pct"/>
            <w:vAlign w:val="center"/>
          </w:tcPr>
          <w:p>
            <w:pPr>
              <w:snapToGrid w:val="0"/>
              <w:ind w:firstLine="0" w:firstLineChars="0"/>
              <w:jc w:val="center"/>
              <w:rPr>
                <w:rFonts w:hint="eastAsia" w:ascii="宋体" w:hAnsi="宋体" w:cs="宋体"/>
                <w:color w:val="auto"/>
              </w:rPr>
            </w:pPr>
            <w:r>
              <w:rPr>
                <w:rFonts w:hint="eastAsia"/>
                <w:color w:val="auto"/>
              </w:rPr>
              <w:t>废导热油</w:t>
            </w:r>
          </w:p>
        </w:tc>
        <w:tc>
          <w:tcPr>
            <w:tcW w:w="1370" w:type="pct"/>
            <w:vMerge w:val="continue"/>
            <w:vAlign w:val="center"/>
          </w:tcPr>
          <w:p>
            <w:pPr>
              <w:ind w:firstLine="0" w:firstLineChars="0"/>
              <w:jc w:val="center"/>
              <w:rPr>
                <w:color w:val="auto"/>
              </w:rPr>
            </w:pPr>
          </w:p>
        </w:tc>
        <w:tc>
          <w:tcPr>
            <w:tcW w:w="1419" w:type="pct"/>
            <w:vMerge w:val="continue"/>
            <w:vAlign w:val="center"/>
          </w:tcPr>
          <w:p>
            <w:pPr>
              <w:adjustRightInd w:val="0"/>
              <w:snapToGrid w:val="0"/>
              <w:ind w:firstLine="0" w:firstLineChars="0"/>
              <w:jc w:val="center"/>
              <w:rPr>
                <w:color w:val="auto"/>
                <w:shd w:val="clear" w:color="auto" w:fill="FCFCFC"/>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67" w:type="pct"/>
            <w:vMerge w:val="continue"/>
            <w:vAlign w:val="center"/>
          </w:tcPr>
          <w:p>
            <w:pPr>
              <w:adjustRightInd w:val="0"/>
              <w:snapToGrid w:val="0"/>
              <w:ind w:firstLine="0" w:firstLineChars="0"/>
              <w:jc w:val="center"/>
              <w:rPr>
                <w:rFonts w:hint="eastAsia" w:ascii="宋体" w:hAnsi="宋体" w:cs="宋体"/>
                <w:color w:val="auto"/>
              </w:rPr>
            </w:pPr>
          </w:p>
        </w:tc>
        <w:tc>
          <w:tcPr>
            <w:tcW w:w="823" w:type="pct"/>
            <w:vMerge w:val="restart"/>
            <w:vAlign w:val="center"/>
          </w:tcPr>
          <w:p>
            <w:pPr>
              <w:pStyle w:val="40"/>
              <w:snapToGrid w:val="0"/>
              <w:ind w:firstLine="0" w:firstLineChars="0"/>
              <w:jc w:val="center"/>
              <w:rPr>
                <w:rFonts w:hint="eastAsia"/>
                <w:color w:val="auto"/>
                <w:szCs w:val="24"/>
              </w:rPr>
            </w:pPr>
            <w:r>
              <w:rPr>
                <w:rFonts w:hint="eastAsia"/>
                <w:color w:val="auto"/>
                <w:szCs w:val="24"/>
              </w:rPr>
              <w:t>设备维修</w:t>
            </w:r>
          </w:p>
        </w:tc>
        <w:tc>
          <w:tcPr>
            <w:tcW w:w="619" w:type="pct"/>
            <w:vAlign w:val="center"/>
          </w:tcPr>
          <w:p>
            <w:pPr>
              <w:snapToGrid w:val="0"/>
              <w:ind w:firstLine="0" w:firstLineChars="0"/>
              <w:jc w:val="center"/>
              <w:rPr>
                <w:color w:val="auto"/>
              </w:rPr>
            </w:pPr>
            <w:r>
              <w:rPr>
                <w:rFonts w:hint="eastAsia"/>
                <w:color w:val="auto"/>
              </w:rPr>
              <w:t>废润滑油</w:t>
            </w:r>
          </w:p>
        </w:tc>
        <w:tc>
          <w:tcPr>
            <w:tcW w:w="1370" w:type="pct"/>
            <w:vMerge w:val="continue"/>
            <w:vAlign w:val="center"/>
          </w:tcPr>
          <w:p>
            <w:pPr>
              <w:ind w:firstLine="0" w:firstLineChars="0"/>
              <w:jc w:val="center"/>
              <w:rPr>
                <w:color w:val="auto"/>
                <w:kern w:val="0"/>
              </w:rPr>
            </w:pPr>
          </w:p>
        </w:tc>
        <w:tc>
          <w:tcPr>
            <w:tcW w:w="1419" w:type="pct"/>
            <w:vMerge w:val="continue"/>
            <w:vAlign w:val="center"/>
          </w:tcPr>
          <w:p>
            <w:pPr>
              <w:adjustRightInd w:val="0"/>
              <w:snapToGrid w:val="0"/>
              <w:ind w:firstLine="0" w:firstLineChars="0"/>
              <w:jc w:val="center"/>
              <w:rPr>
                <w:color w:val="auto"/>
                <w:shd w:val="clear" w:color="auto" w:fill="FCFCFC"/>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67" w:type="pct"/>
            <w:vMerge w:val="continue"/>
            <w:vAlign w:val="center"/>
          </w:tcPr>
          <w:p>
            <w:pPr>
              <w:adjustRightInd w:val="0"/>
              <w:snapToGrid w:val="0"/>
              <w:ind w:firstLine="0" w:firstLineChars="0"/>
              <w:jc w:val="center"/>
              <w:rPr>
                <w:rFonts w:hint="eastAsia" w:ascii="宋体" w:hAnsi="宋体" w:cs="宋体"/>
                <w:color w:val="auto"/>
              </w:rPr>
            </w:pPr>
          </w:p>
        </w:tc>
        <w:tc>
          <w:tcPr>
            <w:tcW w:w="823" w:type="pct"/>
            <w:vMerge w:val="continue"/>
            <w:vAlign w:val="center"/>
          </w:tcPr>
          <w:p>
            <w:pPr>
              <w:pStyle w:val="40"/>
              <w:snapToGrid w:val="0"/>
              <w:ind w:firstLine="0" w:firstLineChars="0"/>
              <w:jc w:val="center"/>
              <w:rPr>
                <w:rFonts w:hint="eastAsia"/>
                <w:color w:val="auto"/>
                <w:szCs w:val="24"/>
              </w:rPr>
            </w:pPr>
          </w:p>
        </w:tc>
        <w:tc>
          <w:tcPr>
            <w:tcW w:w="619" w:type="pct"/>
            <w:vAlign w:val="center"/>
          </w:tcPr>
          <w:p>
            <w:pPr>
              <w:snapToGrid w:val="0"/>
              <w:ind w:firstLine="0" w:firstLineChars="0"/>
              <w:jc w:val="center"/>
              <w:rPr>
                <w:color w:val="auto"/>
              </w:rPr>
            </w:pPr>
            <w:r>
              <w:rPr>
                <w:rFonts w:hint="eastAsia"/>
                <w:color w:val="auto"/>
              </w:rPr>
              <w:t>废油桶</w:t>
            </w:r>
          </w:p>
        </w:tc>
        <w:tc>
          <w:tcPr>
            <w:tcW w:w="1370" w:type="pct"/>
            <w:vMerge w:val="continue"/>
            <w:vAlign w:val="center"/>
          </w:tcPr>
          <w:p>
            <w:pPr>
              <w:ind w:firstLine="0" w:firstLineChars="0"/>
              <w:jc w:val="center"/>
              <w:rPr>
                <w:color w:val="auto"/>
                <w:kern w:val="0"/>
              </w:rPr>
            </w:pPr>
          </w:p>
        </w:tc>
        <w:tc>
          <w:tcPr>
            <w:tcW w:w="1419" w:type="pct"/>
            <w:vMerge w:val="continue"/>
            <w:vAlign w:val="center"/>
          </w:tcPr>
          <w:p>
            <w:pPr>
              <w:adjustRightInd w:val="0"/>
              <w:snapToGrid w:val="0"/>
              <w:ind w:firstLine="0" w:firstLineChars="0"/>
              <w:jc w:val="center"/>
              <w:rPr>
                <w:color w:val="auto"/>
                <w:shd w:val="clear" w:color="auto" w:fill="FCFCFC"/>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767" w:type="pct"/>
            <w:vAlign w:val="center"/>
          </w:tcPr>
          <w:p>
            <w:pPr>
              <w:adjustRightInd w:val="0"/>
              <w:snapToGrid w:val="0"/>
              <w:ind w:firstLine="0" w:firstLineChars="0"/>
              <w:jc w:val="center"/>
              <w:rPr>
                <w:rFonts w:hint="eastAsia" w:ascii="宋体" w:hAnsi="宋体" w:cs="宋体"/>
                <w:color w:val="auto"/>
              </w:rPr>
            </w:pPr>
            <w:r>
              <w:rPr>
                <w:rFonts w:hint="eastAsia" w:ascii="宋体" w:hAnsi="宋体" w:cs="宋体"/>
                <w:color w:val="auto"/>
              </w:rPr>
              <w:t>电磁辐射</w:t>
            </w:r>
          </w:p>
        </w:tc>
        <w:tc>
          <w:tcPr>
            <w:tcW w:w="4232" w:type="pct"/>
            <w:gridSpan w:val="4"/>
            <w:vAlign w:val="center"/>
          </w:tcPr>
          <w:p>
            <w:pPr>
              <w:adjustRightInd w:val="0"/>
              <w:snapToGrid w:val="0"/>
              <w:ind w:firstLine="0" w:firstLineChars="0"/>
              <w:jc w:val="center"/>
              <w:rPr>
                <w:rFonts w:hint="eastAsia" w:ascii="宋体" w:hAnsi="宋体" w:cs="宋体"/>
                <w:color w:val="auto"/>
              </w:rPr>
            </w:pPr>
            <w:r>
              <w:rPr>
                <w:rFonts w:hint="eastAsia" w:ascii="宋体" w:hAnsi="宋体" w:cs="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767" w:type="pct"/>
            <w:vAlign w:val="center"/>
          </w:tcPr>
          <w:p>
            <w:pPr>
              <w:adjustRightInd w:val="0"/>
              <w:snapToGrid w:val="0"/>
              <w:ind w:firstLine="0" w:firstLineChars="0"/>
              <w:jc w:val="center"/>
              <w:rPr>
                <w:rFonts w:hint="eastAsia" w:ascii="宋体" w:hAnsi="宋体" w:cs="宋体"/>
                <w:color w:val="auto"/>
              </w:rPr>
            </w:pPr>
            <w:r>
              <w:rPr>
                <w:rFonts w:hint="eastAsia" w:ascii="宋体" w:hAnsi="宋体" w:cs="宋体"/>
                <w:color w:val="auto"/>
              </w:rPr>
              <w:t>土壤及地下水污染防治措施</w:t>
            </w:r>
          </w:p>
        </w:tc>
        <w:tc>
          <w:tcPr>
            <w:tcW w:w="4232" w:type="pct"/>
            <w:gridSpan w:val="4"/>
            <w:vAlign w:val="center"/>
          </w:tcPr>
          <w:p>
            <w:pPr>
              <w:adjustRightInd w:val="0"/>
              <w:snapToGrid w:val="0"/>
              <w:ind w:firstLine="0" w:firstLineChars="0"/>
              <w:rPr>
                <w:color w:val="auto"/>
              </w:rPr>
            </w:pPr>
            <w:r>
              <w:rPr>
                <w:rFonts w:hint="eastAsia"/>
                <w:color w:val="auto"/>
              </w:rPr>
              <w:t>主要污染途径为垂直入渗。原辅料及固体废物堆放时采取相应的防渗漏、防泄漏措施。地面应采取相应防渗措施，将危废暂存间、沥青罐储存区、导热油系统区、事故池、柴油、重油储存区作为重点防渗区，地面硬化涂刷环氧树脂漆。车间等作为一般防渗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767" w:type="pct"/>
            <w:vAlign w:val="center"/>
          </w:tcPr>
          <w:p>
            <w:pPr>
              <w:adjustRightInd w:val="0"/>
              <w:snapToGrid w:val="0"/>
              <w:ind w:firstLine="0" w:firstLineChars="0"/>
              <w:jc w:val="center"/>
              <w:rPr>
                <w:rFonts w:hint="eastAsia" w:ascii="宋体" w:hAnsi="宋体" w:cs="宋体"/>
                <w:color w:val="auto"/>
              </w:rPr>
            </w:pPr>
            <w:r>
              <w:rPr>
                <w:rFonts w:hint="eastAsia" w:ascii="宋体" w:hAnsi="宋体" w:cs="宋体"/>
                <w:color w:val="auto"/>
              </w:rPr>
              <w:t>生态保护措施</w:t>
            </w:r>
          </w:p>
        </w:tc>
        <w:tc>
          <w:tcPr>
            <w:tcW w:w="4232" w:type="pct"/>
            <w:gridSpan w:val="4"/>
            <w:vAlign w:val="center"/>
          </w:tcPr>
          <w:p>
            <w:pPr>
              <w:adjustRightInd w:val="0"/>
              <w:snapToGrid w:val="0"/>
              <w:ind w:firstLine="0" w:firstLineChars="0"/>
              <w:jc w:val="center"/>
              <w:rPr>
                <w:rFonts w:hint="eastAsia" w:ascii="宋体" w:hAnsi="宋体" w:cs="宋体"/>
                <w:color w:val="auto"/>
              </w:rPr>
            </w:pPr>
            <w:r>
              <w:rPr>
                <w:rFonts w:hint="eastAsia" w:ascii="宋体" w:hAnsi="宋体" w:cs="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767" w:type="pct"/>
            <w:vAlign w:val="center"/>
          </w:tcPr>
          <w:p>
            <w:pPr>
              <w:adjustRightInd w:val="0"/>
              <w:snapToGrid w:val="0"/>
              <w:ind w:firstLine="0" w:firstLineChars="0"/>
              <w:jc w:val="center"/>
              <w:rPr>
                <w:rFonts w:hint="eastAsia" w:ascii="宋体" w:hAnsi="宋体" w:cs="宋体"/>
                <w:color w:val="auto"/>
                <w:spacing w:val="-8"/>
              </w:rPr>
            </w:pPr>
            <w:r>
              <w:rPr>
                <w:rFonts w:hint="eastAsia" w:ascii="宋体" w:hAnsi="宋体" w:cs="宋体"/>
                <w:color w:val="auto"/>
                <w:spacing w:val="-8"/>
              </w:rPr>
              <w:t>环境风险</w:t>
            </w:r>
          </w:p>
          <w:p>
            <w:pPr>
              <w:adjustRightInd w:val="0"/>
              <w:snapToGrid w:val="0"/>
              <w:ind w:firstLine="0" w:firstLineChars="0"/>
              <w:jc w:val="center"/>
              <w:rPr>
                <w:rFonts w:hint="eastAsia" w:ascii="宋体" w:hAnsi="宋体" w:cs="宋体"/>
                <w:color w:val="auto"/>
                <w:spacing w:val="-8"/>
              </w:rPr>
            </w:pPr>
            <w:r>
              <w:rPr>
                <w:rFonts w:hint="eastAsia" w:ascii="宋体" w:hAnsi="宋体" w:cs="宋体"/>
                <w:color w:val="auto"/>
                <w:spacing w:val="-8"/>
              </w:rPr>
              <w:t>防范措施</w:t>
            </w:r>
          </w:p>
        </w:tc>
        <w:tc>
          <w:tcPr>
            <w:tcW w:w="4232" w:type="pct"/>
            <w:gridSpan w:val="4"/>
            <w:vAlign w:val="center"/>
          </w:tcPr>
          <w:p>
            <w:pPr>
              <w:adjustRightInd w:val="0"/>
              <w:snapToGrid w:val="0"/>
              <w:ind w:firstLine="0" w:firstLineChars="0"/>
              <w:jc w:val="center"/>
              <w:rPr>
                <w:color w:val="auto"/>
              </w:rPr>
            </w:pPr>
            <w:r>
              <w:rPr>
                <w:color w:val="auto"/>
              </w:rPr>
              <w:t>在沥青储罐</w:t>
            </w:r>
            <w:r>
              <w:rPr>
                <w:rFonts w:hint="eastAsia"/>
                <w:color w:val="auto"/>
              </w:rPr>
              <w:t>、导热油炉、柴油、重油</w:t>
            </w:r>
            <w:r>
              <w:rPr>
                <w:color w:val="auto"/>
              </w:rPr>
              <w:t>四周建设围堰，</w:t>
            </w:r>
            <w:r>
              <w:rPr>
                <w:rFonts w:hint="eastAsia"/>
                <w:color w:val="auto"/>
              </w:rPr>
              <w:t>柴油、重油使用双层罐储存，</w:t>
            </w:r>
            <w:r>
              <w:rPr>
                <w:color w:val="auto"/>
              </w:rPr>
              <w:t>在导热油炉旁设置事故油池，以便导热油</w:t>
            </w:r>
            <w:r>
              <w:rPr>
                <w:rFonts w:hint="eastAsia"/>
                <w:color w:val="auto"/>
              </w:rPr>
              <w:t>、柴油、重油</w:t>
            </w:r>
            <w:r>
              <w:rPr>
                <w:color w:val="auto"/>
              </w:rPr>
              <w:t>泄漏时将导热油</w:t>
            </w:r>
            <w:r>
              <w:rPr>
                <w:rFonts w:hint="eastAsia"/>
                <w:color w:val="auto"/>
              </w:rPr>
              <w:t>、柴油、重油</w:t>
            </w:r>
            <w:r>
              <w:rPr>
                <w:color w:val="auto"/>
              </w:rPr>
              <w:t>引流至事故应急池内</w:t>
            </w:r>
            <w:r>
              <w:rPr>
                <w:rFonts w:hint="eastAsia"/>
                <w:color w:val="auto"/>
              </w:rPr>
              <w:t>，事故应急池容积为50m</w:t>
            </w:r>
            <w:r>
              <w:rPr>
                <w:rFonts w:hint="eastAsia"/>
                <w:color w:val="auto"/>
                <w:vertAlign w:val="superscript"/>
              </w:rPr>
              <w:t>3</w:t>
            </w:r>
            <w:r>
              <w:rPr>
                <w:rFonts w:hint="eastAsia"/>
                <w:color w:val="auto"/>
              </w:rPr>
              <w:t>，</w:t>
            </w:r>
            <w:r>
              <w:rPr>
                <w:color w:val="auto"/>
              </w:rPr>
              <w:t>围堰底部、内壁均采用防渗硬化</w:t>
            </w:r>
            <w:r>
              <w:rPr>
                <w:rFonts w:hint="eastAsia"/>
                <w:color w:val="auto"/>
              </w:rPr>
              <w:t>，设置消防事故池一座，容积700</w:t>
            </w:r>
            <w:r>
              <w:rPr>
                <w:rFonts w:hint="eastAsia"/>
                <w:color w:val="auto"/>
                <w:spacing w:val="1"/>
              </w:rPr>
              <w:t>m</w:t>
            </w:r>
            <w:r>
              <w:rPr>
                <w:rFonts w:hint="eastAsia"/>
                <w:color w:val="auto"/>
                <w:spacing w:val="1"/>
                <w:vertAlign w:val="super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7" w:type="pct"/>
            <w:vAlign w:val="center"/>
          </w:tcPr>
          <w:p>
            <w:pPr>
              <w:adjustRightInd w:val="0"/>
              <w:snapToGrid w:val="0"/>
              <w:ind w:firstLine="0" w:firstLineChars="0"/>
              <w:jc w:val="center"/>
              <w:rPr>
                <w:rFonts w:hint="eastAsia" w:ascii="宋体" w:hAnsi="宋体" w:cs="宋体"/>
                <w:color w:val="auto"/>
                <w:spacing w:val="-8"/>
              </w:rPr>
            </w:pPr>
            <w:r>
              <w:rPr>
                <w:rFonts w:hint="eastAsia" w:ascii="宋体" w:hAnsi="宋体" w:cs="宋体"/>
                <w:color w:val="auto"/>
                <w:spacing w:val="-8"/>
              </w:rPr>
              <w:t>其他环境</w:t>
            </w:r>
          </w:p>
          <w:p>
            <w:pPr>
              <w:adjustRightInd w:val="0"/>
              <w:snapToGrid w:val="0"/>
              <w:ind w:firstLine="0" w:firstLineChars="0"/>
              <w:jc w:val="center"/>
              <w:rPr>
                <w:rFonts w:hint="eastAsia" w:ascii="宋体" w:hAnsi="宋体" w:cs="宋体"/>
                <w:color w:val="auto"/>
                <w:spacing w:val="-8"/>
              </w:rPr>
            </w:pPr>
            <w:r>
              <w:rPr>
                <w:rFonts w:hint="eastAsia" w:ascii="宋体" w:hAnsi="宋体" w:cs="宋体"/>
                <w:color w:val="auto"/>
                <w:spacing w:val="-8"/>
              </w:rPr>
              <w:t>管理要求</w:t>
            </w:r>
          </w:p>
        </w:tc>
        <w:tc>
          <w:tcPr>
            <w:tcW w:w="4232" w:type="pct"/>
            <w:gridSpan w:val="4"/>
            <w:vAlign w:val="center"/>
          </w:tcPr>
          <w:p>
            <w:pPr>
              <w:pStyle w:val="4"/>
              <w:rPr>
                <w:color w:val="auto"/>
                <w:sz w:val="24"/>
                <w:szCs w:val="24"/>
              </w:rPr>
            </w:pPr>
            <w:r>
              <w:rPr>
                <w:rFonts w:hint="eastAsia"/>
                <w:color w:val="auto"/>
                <w:sz w:val="24"/>
                <w:szCs w:val="24"/>
              </w:rPr>
              <w:t>1环境管理要求</w:t>
            </w:r>
          </w:p>
          <w:p>
            <w:pPr>
              <w:adjustRightInd w:val="0"/>
              <w:snapToGrid w:val="0"/>
              <w:ind w:firstLine="480"/>
              <w:rPr>
                <w:color w:val="auto"/>
              </w:rPr>
            </w:pPr>
            <w:r>
              <w:rPr>
                <w:rFonts w:hint="eastAsia"/>
                <w:color w:val="auto"/>
              </w:rPr>
              <w:t>①项目的环保设施必须和主体工程同时设计、同时施工、同时投产。</w:t>
            </w:r>
          </w:p>
          <w:p>
            <w:pPr>
              <w:adjustRightInd w:val="0"/>
              <w:snapToGrid w:val="0"/>
              <w:ind w:firstLine="480"/>
              <w:rPr>
                <w:color w:val="auto"/>
              </w:rPr>
            </w:pPr>
            <w:r>
              <w:rPr>
                <w:rFonts w:hint="eastAsia"/>
                <w:color w:val="auto"/>
              </w:rPr>
              <w:t>②为了加强项目设置的各种环保设施的运行，项目必须制订相关的环保设施管理制度，设置一到两名专、兼职环保人员对各种环保设施的日常管理及维护工作。</w:t>
            </w:r>
          </w:p>
          <w:p>
            <w:pPr>
              <w:adjustRightInd w:val="0"/>
              <w:snapToGrid w:val="0"/>
              <w:ind w:firstLine="480"/>
              <w:rPr>
                <w:color w:val="auto"/>
              </w:rPr>
            </w:pPr>
            <w:r>
              <w:rPr>
                <w:rFonts w:hint="eastAsia"/>
                <w:color w:val="auto"/>
              </w:rPr>
              <w:t>③项目应加环保设施的管理，定期对环保设施进行维护、检修，确保各项环保设施的正常运行，以保证处理效果，使各项污染物能达标排放。</w:t>
            </w:r>
          </w:p>
          <w:p>
            <w:pPr>
              <w:pStyle w:val="71"/>
              <w:ind w:firstLine="496"/>
              <w:jc w:val="both"/>
              <w:rPr>
                <w:color w:val="auto"/>
              </w:rPr>
            </w:pPr>
            <w:r>
              <w:rPr>
                <w:rFonts w:hint="eastAsia"/>
                <w:color w:val="auto"/>
              </w:rPr>
              <w:t>④建设单位应在各排污口处设置较明显的排污口标志牌，其上应注明主要排污污染物的名称。建设单位应如实填写《中华人民共和国规范化排污口标志登记证》的有关内容，由环保主管部门签发等级证。建设单位应将有关排污口的情况如：排污口的性质、编号、排污口的位置；主要排放的污染物种类、数量、浓度、排放规律、排放去向；污染治理措施的运行情况等进行建档管理，并报送环保主管部门备案。</w:t>
            </w:r>
          </w:p>
          <w:p>
            <w:pPr>
              <w:adjustRightInd w:val="0"/>
              <w:snapToGrid w:val="0"/>
              <w:ind w:firstLine="480"/>
              <w:rPr>
                <w:color w:val="auto"/>
              </w:rPr>
            </w:pPr>
            <w:r>
              <w:rPr>
                <w:rFonts w:hint="eastAsia"/>
                <w:color w:val="auto"/>
              </w:rPr>
              <w:t>⑤编制《突发环境事件应急预案》，并报送环保主管部门备案。</w:t>
            </w:r>
          </w:p>
          <w:p>
            <w:pPr>
              <w:adjustRightInd w:val="0"/>
              <w:snapToGrid w:val="0"/>
              <w:ind w:firstLine="480"/>
              <w:rPr>
                <w:color w:val="auto"/>
              </w:rPr>
            </w:pPr>
            <w:r>
              <w:rPr>
                <w:rFonts w:hint="eastAsia"/>
                <w:color w:val="auto"/>
              </w:rPr>
              <w:t>⑥按照废气及噪声监测计划进行监测</w:t>
            </w:r>
          </w:p>
          <w:p>
            <w:pPr>
              <w:pStyle w:val="4"/>
              <w:rPr>
                <w:color w:val="auto"/>
                <w:sz w:val="24"/>
                <w:szCs w:val="24"/>
              </w:rPr>
            </w:pPr>
            <w:r>
              <w:rPr>
                <w:rFonts w:hint="eastAsia"/>
                <w:color w:val="auto"/>
                <w:sz w:val="24"/>
                <w:szCs w:val="24"/>
              </w:rPr>
              <w:t>2环保投资</w:t>
            </w:r>
          </w:p>
          <w:p>
            <w:pPr>
              <w:adjustRightInd w:val="0"/>
              <w:snapToGrid w:val="0"/>
              <w:ind w:firstLine="480"/>
              <w:jc w:val="left"/>
              <w:rPr>
                <w:color w:val="auto"/>
              </w:rPr>
            </w:pPr>
            <w:r>
              <w:rPr>
                <w:color w:val="auto"/>
              </w:rPr>
              <w:t>项目总投资</w:t>
            </w:r>
            <w:r>
              <w:rPr>
                <w:rFonts w:hint="eastAsia"/>
                <w:color w:val="auto"/>
              </w:rPr>
              <w:t>3</w:t>
            </w:r>
            <w:r>
              <w:rPr>
                <w:rFonts w:hint="eastAsia"/>
                <w:color w:val="auto"/>
                <w:lang w:val="en-US" w:eastAsia="zh-CN"/>
              </w:rPr>
              <w:t>1</w:t>
            </w:r>
            <w:r>
              <w:rPr>
                <w:rFonts w:hint="eastAsia"/>
                <w:color w:val="auto"/>
              </w:rPr>
              <w:t>00</w:t>
            </w:r>
            <w:r>
              <w:rPr>
                <w:color w:val="auto"/>
              </w:rPr>
              <w:t>万元，环保设施投资共</w:t>
            </w:r>
            <w:r>
              <w:rPr>
                <w:rFonts w:hint="eastAsia"/>
                <w:color w:val="auto"/>
              </w:rPr>
              <w:t>237.2</w:t>
            </w:r>
            <w:r>
              <w:rPr>
                <w:color w:val="auto"/>
              </w:rPr>
              <w:t>万元，占总投资的</w:t>
            </w:r>
            <w:r>
              <w:rPr>
                <w:rFonts w:hint="eastAsia"/>
                <w:color w:val="auto"/>
                <w:lang w:val="en-US" w:eastAsia="zh-CN"/>
              </w:rPr>
              <w:t>7.65</w:t>
            </w:r>
            <w:r>
              <w:rPr>
                <w:color w:val="auto"/>
              </w:rPr>
              <w:t>%，项目环保投资情况见表</w:t>
            </w:r>
            <w:r>
              <w:rPr>
                <w:rFonts w:hint="eastAsia"/>
                <w:color w:val="auto"/>
              </w:rPr>
              <w:t>5</w:t>
            </w:r>
            <w:r>
              <w:rPr>
                <w:color w:val="auto"/>
              </w:rPr>
              <w:t>-</w:t>
            </w:r>
            <w:r>
              <w:rPr>
                <w:rFonts w:hint="eastAsia"/>
                <w:color w:val="auto"/>
              </w:rPr>
              <w:t>1</w:t>
            </w:r>
            <w:r>
              <w:rPr>
                <w:color w:val="auto"/>
              </w:rPr>
              <w:t>。</w:t>
            </w:r>
          </w:p>
          <w:p>
            <w:pPr>
              <w:adjustRightInd w:val="0"/>
              <w:snapToGrid w:val="0"/>
              <w:ind w:firstLine="480"/>
              <w:jc w:val="left"/>
              <w:rPr>
                <w:color w:val="auto"/>
              </w:rPr>
            </w:pPr>
          </w:p>
          <w:p>
            <w:pPr>
              <w:adjustRightInd w:val="0"/>
              <w:snapToGrid w:val="0"/>
              <w:ind w:firstLine="482"/>
              <w:jc w:val="center"/>
              <w:textAlignment w:val="baseline"/>
              <w:rPr>
                <w:b/>
                <w:bCs/>
                <w:color w:val="auto"/>
              </w:rPr>
            </w:pPr>
            <w:r>
              <w:rPr>
                <w:b/>
                <w:bCs/>
                <w:color w:val="auto"/>
              </w:rPr>
              <w:t>表</w:t>
            </w:r>
            <w:r>
              <w:rPr>
                <w:rFonts w:hint="eastAsia"/>
                <w:b/>
                <w:bCs/>
                <w:color w:val="auto"/>
              </w:rPr>
              <w:t>5</w:t>
            </w:r>
            <w:r>
              <w:rPr>
                <w:b/>
                <w:bCs/>
                <w:color w:val="auto"/>
              </w:rPr>
              <w:t>-</w:t>
            </w:r>
            <w:r>
              <w:rPr>
                <w:rFonts w:hint="eastAsia"/>
                <w:b/>
                <w:bCs/>
                <w:color w:val="auto"/>
              </w:rPr>
              <w:t>1</w:t>
            </w:r>
            <w:r>
              <w:rPr>
                <w:b/>
                <w:bCs/>
                <w:color w:val="auto"/>
              </w:rPr>
              <w:t>项目环保投资一览表</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
              <w:gridCol w:w="582"/>
              <w:gridCol w:w="1297"/>
              <w:gridCol w:w="3087"/>
              <w:gridCol w:w="673"/>
              <w:gridCol w:w="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jc w:val="center"/>
              </w:trPr>
              <w:tc>
                <w:tcPr>
                  <w:tcW w:w="1690" w:type="pct"/>
                  <w:gridSpan w:val="3"/>
                  <w:vAlign w:val="center"/>
                </w:tcPr>
                <w:p>
                  <w:pPr>
                    <w:pStyle w:val="11"/>
                    <w:ind w:firstLine="0" w:firstLineChars="0"/>
                    <w:jc w:val="center"/>
                    <w:rPr>
                      <w:b/>
                      <w:color w:val="auto"/>
                    </w:rPr>
                  </w:pPr>
                  <w:r>
                    <w:rPr>
                      <w:b/>
                      <w:color w:val="auto"/>
                    </w:rPr>
                    <w:t>类别</w:t>
                  </w:r>
                </w:p>
              </w:tc>
              <w:tc>
                <w:tcPr>
                  <w:tcW w:w="2211" w:type="pct"/>
                  <w:vAlign w:val="center"/>
                </w:tcPr>
                <w:p>
                  <w:pPr>
                    <w:pStyle w:val="11"/>
                    <w:ind w:firstLine="0" w:firstLineChars="0"/>
                    <w:jc w:val="center"/>
                    <w:rPr>
                      <w:b/>
                      <w:color w:val="auto"/>
                    </w:rPr>
                  </w:pPr>
                  <w:r>
                    <w:rPr>
                      <w:b/>
                      <w:bCs/>
                      <w:color w:val="auto"/>
                    </w:rPr>
                    <w:t>环保设施名称</w:t>
                  </w:r>
                </w:p>
              </w:tc>
              <w:tc>
                <w:tcPr>
                  <w:tcW w:w="481" w:type="pct"/>
                  <w:vAlign w:val="center"/>
                </w:tcPr>
                <w:p>
                  <w:pPr>
                    <w:pStyle w:val="11"/>
                    <w:ind w:firstLine="0" w:firstLineChars="0"/>
                    <w:jc w:val="center"/>
                    <w:rPr>
                      <w:b/>
                      <w:color w:val="auto"/>
                    </w:rPr>
                  </w:pPr>
                  <w:r>
                    <w:rPr>
                      <w:b/>
                      <w:color w:val="auto"/>
                    </w:rPr>
                    <w:t>数量</w:t>
                  </w:r>
                </w:p>
              </w:tc>
              <w:tc>
                <w:tcPr>
                  <w:tcW w:w="616" w:type="pct"/>
                  <w:vAlign w:val="center"/>
                </w:tcPr>
                <w:p>
                  <w:pPr>
                    <w:pStyle w:val="11"/>
                    <w:ind w:firstLine="0" w:firstLineChars="0"/>
                    <w:jc w:val="center"/>
                    <w:rPr>
                      <w:b/>
                      <w:color w:val="auto"/>
                    </w:rPr>
                  </w:pPr>
                  <w:r>
                    <w:rPr>
                      <w:b/>
                      <w:color w:val="auto"/>
                    </w:rPr>
                    <w:t>投资概算（万</w:t>
                  </w:r>
                  <w:r>
                    <w:rPr>
                      <w:rFonts w:hint="eastAsia"/>
                      <w:b/>
                      <w:color w:val="auto"/>
                    </w:rPr>
                    <w:t>元</w:t>
                  </w:r>
                  <w:r>
                    <w:rPr>
                      <w:b/>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Align w:val="center"/>
                </w:tcPr>
                <w:p>
                  <w:pPr>
                    <w:pStyle w:val="11"/>
                    <w:ind w:firstLine="0" w:firstLineChars="0"/>
                    <w:jc w:val="center"/>
                    <w:rPr>
                      <w:color w:val="auto"/>
                    </w:rPr>
                  </w:pPr>
                  <w:r>
                    <w:rPr>
                      <w:color w:val="auto"/>
                    </w:rPr>
                    <w:t>施工期</w:t>
                  </w:r>
                </w:p>
              </w:tc>
              <w:tc>
                <w:tcPr>
                  <w:tcW w:w="1344" w:type="pct"/>
                  <w:gridSpan w:val="2"/>
                  <w:vAlign w:val="center"/>
                </w:tcPr>
                <w:p>
                  <w:pPr>
                    <w:tabs>
                      <w:tab w:val="left" w:pos="3255"/>
                    </w:tabs>
                    <w:ind w:firstLine="0" w:firstLineChars="0"/>
                    <w:jc w:val="center"/>
                    <w:rPr>
                      <w:color w:val="auto"/>
                    </w:rPr>
                  </w:pPr>
                  <w:r>
                    <w:rPr>
                      <w:color w:val="auto"/>
                    </w:rPr>
                    <w:t>施工</w:t>
                  </w:r>
                  <w:r>
                    <w:rPr>
                      <w:rFonts w:hint="eastAsia"/>
                      <w:color w:val="auto"/>
                    </w:rPr>
                    <w:t>垃圾</w:t>
                  </w:r>
                </w:p>
              </w:tc>
              <w:tc>
                <w:tcPr>
                  <w:tcW w:w="2211" w:type="pct"/>
                  <w:vAlign w:val="center"/>
                </w:tcPr>
                <w:p>
                  <w:pPr>
                    <w:ind w:firstLine="0" w:firstLineChars="0"/>
                    <w:jc w:val="center"/>
                    <w:rPr>
                      <w:color w:val="auto"/>
                    </w:rPr>
                  </w:pPr>
                  <w:r>
                    <w:rPr>
                      <w:rFonts w:hint="eastAsia"/>
                      <w:color w:val="auto"/>
                    </w:rPr>
                    <w:t>运输</w:t>
                  </w:r>
                </w:p>
              </w:tc>
              <w:tc>
                <w:tcPr>
                  <w:tcW w:w="481" w:type="pct"/>
                  <w:vAlign w:val="center"/>
                </w:tcPr>
                <w:p>
                  <w:pPr>
                    <w:pStyle w:val="86"/>
                    <w:adjustRightInd/>
                    <w:spacing w:line="240" w:lineRule="auto"/>
                    <w:ind w:firstLine="0" w:firstLineChars="0"/>
                    <w:jc w:val="center"/>
                    <w:rPr>
                      <w:rFonts w:eastAsia="宋体"/>
                      <w:color w:val="auto"/>
                      <w:sz w:val="24"/>
                    </w:rPr>
                  </w:pPr>
                  <w:r>
                    <w:rPr>
                      <w:rFonts w:eastAsia="宋体"/>
                      <w:color w:val="auto"/>
                      <w:sz w:val="24"/>
                    </w:rPr>
                    <w:t>/</w:t>
                  </w:r>
                </w:p>
              </w:tc>
              <w:tc>
                <w:tcPr>
                  <w:tcW w:w="616" w:type="pct"/>
                  <w:vAlign w:val="center"/>
                </w:tcPr>
                <w:p>
                  <w:pPr>
                    <w:ind w:firstLine="0" w:firstLineChars="0"/>
                    <w:jc w:val="center"/>
                    <w:rPr>
                      <w:color w:val="auto"/>
                    </w:rPr>
                  </w:pPr>
                  <w:r>
                    <w:rPr>
                      <w:color w:val="auto"/>
                    </w:rPr>
                    <w:t>0.</w:t>
                  </w:r>
                  <w:r>
                    <w:rPr>
                      <w:rFonts w:hint="eastAsia"/>
                      <w:color w:val="auto"/>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restart"/>
                  <w:vAlign w:val="center"/>
                </w:tcPr>
                <w:p>
                  <w:pPr>
                    <w:pStyle w:val="11"/>
                    <w:ind w:firstLine="0" w:firstLineChars="0"/>
                    <w:jc w:val="center"/>
                    <w:rPr>
                      <w:color w:val="auto"/>
                    </w:rPr>
                  </w:pPr>
                  <w:r>
                    <w:rPr>
                      <w:color w:val="auto"/>
                    </w:rPr>
                    <w:t>运营期</w:t>
                  </w:r>
                </w:p>
              </w:tc>
              <w:tc>
                <w:tcPr>
                  <w:tcW w:w="416" w:type="pct"/>
                  <w:vMerge w:val="restart"/>
                  <w:vAlign w:val="center"/>
                </w:tcPr>
                <w:p>
                  <w:pPr>
                    <w:pStyle w:val="11"/>
                    <w:ind w:firstLine="0" w:firstLineChars="0"/>
                    <w:jc w:val="center"/>
                    <w:rPr>
                      <w:color w:val="auto"/>
                    </w:rPr>
                  </w:pPr>
                  <w:r>
                    <w:rPr>
                      <w:color w:val="auto"/>
                    </w:rPr>
                    <w:t>废气</w:t>
                  </w:r>
                </w:p>
                <w:p>
                  <w:pPr>
                    <w:pStyle w:val="11"/>
                    <w:ind w:firstLine="0" w:firstLineChars="0"/>
                    <w:jc w:val="center"/>
                    <w:rPr>
                      <w:color w:val="auto"/>
                    </w:rPr>
                  </w:pPr>
                  <w:r>
                    <w:rPr>
                      <w:color w:val="auto"/>
                    </w:rPr>
                    <w:t>治理</w:t>
                  </w:r>
                </w:p>
              </w:tc>
              <w:tc>
                <w:tcPr>
                  <w:tcW w:w="927" w:type="pct"/>
                  <w:vMerge w:val="restart"/>
                  <w:vAlign w:val="center"/>
                </w:tcPr>
                <w:p>
                  <w:pPr>
                    <w:widowControl/>
                    <w:adjustRightInd w:val="0"/>
                    <w:snapToGrid w:val="0"/>
                    <w:ind w:firstLine="0" w:firstLineChars="0"/>
                    <w:jc w:val="center"/>
                    <w:rPr>
                      <w:color w:val="auto"/>
                    </w:rPr>
                  </w:pPr>
                  <w:r>
                    <w:rPr>
                      <w:rFonts w:hint="eastAsia"/>
                      <w:color w:val="auto"/>
                    </w:rPr>
                    <w:t>无组织粉尘</w:t>
                  </w:r>
                </w:p>
              </w:tc>
              <w:tc>
                <w:tcPr>
                  <w:tcW w:w="2211" w:type="pct"/>
                  <w:vAlign w:val="center"/>
                </w:tcPr>
                <w:p>
                  <w:pPr>
                    <w:tabs>
                      <w:tab w:val="left" w:pos="3255"/>
                    </w:tabs>
                    <w:ind w:firstLine="0" w:firstLineChars="0"/>
                    <w:jc w:val="center"/>
                    <w:rPr>
                      <w:color w:val="auto"/>
                    </w:rPr>
                  </w:pPr>
                  <w:r>
                    <w:rPr>
                      <w:rFonts w:hint="eastAsia" w:ascii="宋体" w:hAnsi="宋体" w:cs="宋体"/>
                      <w:color w:val="auto"/>
                    </w:rPr>
                    <w:t>矿粉筒仓一套袋式除尘器</w:t>
                  </w:r>
                </w:p>
              </w:tc>
              <w:tc>
                <w:tcPr>
                  <w:tcW w:w="481" w:type="pct"/>
                  <w:vAlign w:val="center"/>
                </w:tcPr>
                <w:p>
                  <w:pPr>
                    <w:pStyle w:val="86"/>
                    <w:adjustRightInd/>
                    <w:spacing w:line="240" w:lineRule="auto"/>
                    <w:ind w:firstLine="0" w:firstLineChars="0"/>
                    <w:jc w:val="center"/>
                    <w:rPr>
                      <w:rFonts w:eastAsia="宋体"/>
                      <w:color w:val="auto"/>
                      <w:sz w:val="24"/>
                    </w:rPr>
                  </w:pPr>
                  <w:r>
                    <w:rPr>
                      <w:rFonts w:hint="eastAsia"/>
                      <w:color w:val="auto"/>
                      <w:sz w:val="24"/>
                    </w:rPr>
                    <w:t>2</w:t>
                  </w:r>
                  <w:r>
                    <w:rPr>
                      <w:color w:val="auto"/>
                      <w:sz w:val="24"/>
                    </w:rPr>
                    <w:t>套</w:t>
                  </w:r>
                </w:p>
              </w:tc>
              <w:tc>
                <w:tcPr>
                  <w:tcW w:w="616" w:type="pct"/>
                  <w:vAlign w:val="center"/>
                </w:tcPr>
                <w:p>
                  <w:pPr>
                    <w:ind w:firstLine="0" w:firstLineChars="0"/>
                    <w:jc w:val="center"/>
                    <w:rPr>
                      <w:color w:val="auto"/>
                    </w:rPr>
                  </w:pPr>
                  <w:r>
                    <w:rPr>
                      <w:rFonts w:hint="eastAsia"/>
                      <w:color w:val="auto"/>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vAlign w:val="center"/>
                </w:tcPr>
                <w:p>
                  <w:pPr>
                    <w:pStyle w:val="11"/>
                    <w:ind w:firstLine="0" w:firstLineChars="0"/>
                    <w:jc w:val="center"/>
                    <w:rPr>
                      <w:color w:val="auto"/>
                    </w:rPr>
                  </w:pPr>
                </w:p>
              </w:tc>
              <w:tc>
                <w:tcPr>
                  <w:tcW w:w="416" w:type="pct"/>
                  <w:vMerge w:val="continue"/>
                  <w:vAlign w:val="center"/>
                </w:tcPr>
                <w:p>
                  <w:pPr>
                    <w:pStyle w:val="11"/>
                    <w:ind w:firstLine="0" w:firstLineChars="0"/>
                    <w:jc w:val="center"/>
                    <w:rPr>
                      <w:color w:val="auto"/>
                    </w:rPr>
                  </w:pPr>
                </w:p>
              </w:tc>
              <w:tc>
                <w:tcPr>
                  <w:tcW w:w="927" w:type="pct"/>
                  <w:vMerge w:val="continue"/>
                  <w:vAlign w:val="center"/>
                </w:tcPr>
                <w:p>
                  <w:pPr>
                    <w:widowControl/>
                    <w:adjustRightInd w:val="0"/>
                    <w:snapToGrid w:val="0"/>
                    <w:ind w:firstLine="0" w:firstLineChars="0"/>
                    <w:jc w:val="center"/>
                    <w:rPr>
                      <w:color w:val="auto"/>
                    </w:rPr>
                  </w:pPr>
                </w:p>
              </w:tc>
              <w:tc>
                <w:tcPr>
                  <w:tcW w:w="2211" w:type="pct"/>
                  <w:vAlign w:val="center"/>
                </w:tcPr>
                <w:p>
                  <w:pPr>
                    <w:tabs>
                      <w:tab w:val="left" w:pos="3255"/>
                    </w:tabs>
                    <w:ind w:firstLine="0" w:firstLineChars="0"/>
                    <w:jc w:val="center"/>
                    <w:rPr>
                      <w:rFonts w:hint="eastAsia" w:ascii="宋体" w:hAnsi="宋体" w:cs="宋体"/>
                      <w:color w:val="auto"/>
                    </w:rPr>
                  </w:pPr>
                  <w:r>
                    <w:rPr>
                      <w:rFonts w:hint="eastAsia"/>
                      <w:color w:val="auto"/>
                      <w:spacing w:val="1"/>
                    </w:rPr>
                    <w:t>洗车平台</w:t>
                  </w:r>
                </w:p>
              </w:tc>
              <w:tc>
                <w:tcPr>
                  <w:tcW w:w="481" w:type="pct"/>
                  <w:vAlign w:val="center"/>
                </w:tcPr>
                <w:p>
                  <w:pPr>
                    <w:pStyle w:val="86"/>
                    <w:adjustRightInd/>
                    <w:spacing w:line="240" w:lineRule="auto"/>
                    <w:ind w:firstLine="0" w:firstLineChars="0"/>
                    <w:jc w:val="center"/>
                    <w:rPr>
                      <w:color w:val="auto"/>
                      <w:sz w:val="24"/>
                    </w:rPr>
                  </w:pPr>
                  <w:r>
                    <w:rPr>
                      <w:rFonts w:hint="eastAsia"/>
                      <w:color w:val="auto"/>
                      <w:sz w:val="24"/>
                    </w:rPr>
                    <w:t>1座</w:t>
                  </w:r>
                </w:p>
              </w:tc>
              <w:tc>
                <w:tcPr>
                  <w:tcW w:w="616" w:type="pct"/>
                  <w:vAlign w:val="center"/>
                </w:tcPr>
                <w:p>
                  <w:pPr>
                    <w:ind w:firstLine="0" w:firstLineChars="0"/>
                    <w:jc w:val="center"/>
                    <w:rPr>
                      <w:color w:val="auto"/>
                    </w:rPr>
                  </w:pPr>
                  <w:r>
                    <w:rPr>
                      <w:rFonts w:hint="eastAsia"/>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vAlign w:val="center"/>
                </w:tcPr>
                <w:p>
                  <w:pPr>
                    <w:pStyle w:val="11"/>
                    <w:ind w:firstLine="0" w:firstLineChars="0"/>
                    <w:jc w:val="center"/>
                    <w:rPr>
                      <w:color w:val="auto"/>
                    </w:rPr>
                  </w:pPr>
                </w:p>
              </w:tc>
              <w:tc>
                <w:tcPr>
                  <w:tcW w:w="416" w:type="pct"/>
                  <w:vMerge w:val="continue"/>
                  <w:vAlign w:val="center"/>
                </w:tcPr>
                <w:p>
                  <w:pPr>
                    <w:pStyle w:val="11"/>
                    <w:ind w:firstLine="0" w:firstLineChars="0"/>
                    <w:jc w:val="center"/>
                    <w:rPr>
                      <w:color w:val="auto"/>
                    </w:rPr>
                  </w:pPr>
                </w:p>
              </w:tc>
              <w:tc>
                <w:tcPr>
                  <w:tcW w:w="927" w:type="pct"/>
                  <w:vMerge w:val="continue"/>
                  <w:vAlign w:val="center"/>
                </w:tcPr>
                <w:p>
                  <w:pPr>
                    <w:widowControl/>
                    <w:adjustRightInd w:val="0"/>
                    <w:snapToGrid w:val="0"/>
                    <w:ind w:firstLine="0" w:firstLineChars="0"/>
                    <w:jc w:val="center"/>
                    <w:rPr>
                      <w:color w:val="auto"/>
                    </w:rPr>
                  </w:pPr>
                </w:p>
              </w:tc>
              <w:tc>
                <w:tcPr>
                  <w:tcW w:w="2211" w:type="pct"/>
                  <w:vAlign w:val="center"/>
                </w:tcPr>
                <w:p>
                  <w:pPr>
                    <w:tabs>
                      <w:tab w:val="left" w:pos="3255"/>
                    </w:tabs>
                    <w:ind w:firstLine="0" w:firstLineChars="0"/>
                    <w:jc w:val="center"/>
                    <w:rPr>
                      <w:color w:val="auto"/>
                      <w:spacing w:val="1"/>
                    </w:rPr>
                  </w:pPr>
                  <w:r>
                    <w:rPr>
                      <w:rFonts w:hint="eastAsia"/>
                      <w:color w:val="auto"/>
                      <w:spacing w:val="1"/>
                    </w:rPr>
                    <w:t>搅拌楼袋式除尘器</w:t>
                  </w:r>
                </w:p>
              </w:tc>
              <w:tc>
                <w:tcPr>
                  <w:tcW w:w="481" w:type="pct"/>
                  <w:vAlign w:val="center"/>
                </w:tcPr>
                <w:p>
                  <w:pPr>
                    <w:pStyle w:val="86"/>
                    <w:adjustRightInd/>
                    <w:spacing w:line="240" w:lineRule="auto"/>
                    <w:ind w:firstLine="0" w:firstLineChars="0"/>
                    <w:jc w:val="center"/>
                    <w:rPr>
                      <w:color w:val="auto"/>
                      <w:sz w:val="24"/>
                    </w:rPr>
                  </w:pPr>
                  <w:r>
                    <w:rPr>
                      <w:rFonts w:hint="eastAsia"/>
                      <w:color w:val="auto"/>
                      <w:sz w:val="24"/>
                    </w:rPr>
                    <w:t>2</w:t>
                  </w:r>
                  <w:r>
                    <w:rPr>
                      <w:color w:val="auto"/>
                      <w:sz w:val="24"/>
                    </w:rPr>
                    <w:t>套</w:t>
                  </w:r>
                </w:p>
              </w:tc>
              <w:tc>
                <w:tcPr>
                  <w:tcW w:w="616" w:type="pct"/>
                  <w:vAlign w:val="center"/>
                </w:tcPr>
                <w:p>
                  <w:pPr>
                    <w:ind w:firstLine="0" w:firstLineChars="0"/>
                    <w:jc w:val="center"/>
                    <w:rPr>
                      <w:color w:val="auto"/>
                    </w:rPr>
                  </w:pPr>
                  <w:r>
                    <w:rPr>
                      <w:rFonts w:hint="eastAsia"/>
                      <w:color w:val="auto"/>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vAlign w:val="center"/>
                </w:tcPr>
                <w:p>
                  <w:pPr>
                    <w:pStyle w:val="11"/>
                    <w:ind w:firstLine="0" w:firstLineChars="0"/>
                    <w:jc w:val="center"/>
                    <w:rPr>
                      <w:color w:val="auto"/>
                    </w:rPr>
                  </w:pPr>
                </w:p>
              </w:tc>
              <w:tc>
                <w:tcPr>
                  <w:tcW w:w="416" w:type="pct"/>
                  <w:vMerge w:val="continue"/>
                  <w:vAlign w:val="center"/>
                </w:tcPr>
                <w:p>
                  <w:pPr>
                    <w:pStyle w:val="11"/>
                    <w:ind w:firstLine="0" w:firstLineChars="0"/>
                    <w:jc w:val="center"/>
                    <w:rPr>
                      <w:color w:val="auto"/>
                    </w:rPr>
                  </w:pPr>
                </w:p>
              </w:tc>
              <w:tc>
                <w:tcPr>
                  <w:tcW w:w="927" w:type="pct"/>
                  <w:vMerge w:val="continue"/>
                  <w:vAlign w:val="center"/>
                </w:tcPr>
                <w:p>
                  <w:pPr>
                    <w:widowControl/>
                    <w:adjustRightInd w:val="0"/>
                    <w:snapToGrid w:val="0"/>
                    <w:ind w:firstLine="0" w:firstLineChars="0"/>
                    <w:jc w:val="center"/>
                    <w:rPr>
                      <w:color w:val="auto"/>
                    </w:rPr>
                  </w:pPr>
                </w:p>
              </w:tc>
              <w:tc>
                <w:tcPr>
                  <w:tcW w:w="2211" w:type="pct"/>
                  <w:vAlign w:val="center"/>
                </w:tcPr>
                <w:p>
                  <w:pPr>
                    <w:tabs>
                      <w:tab w:val="left" w:pos="3255"/>
                    </w:tabs>
                    <w:ind w:firstLine="0" w:firstLineChars="0"/>
                    <w:jc w:val="center"/>
                    <w:rPr>
                      <w:color w:val="auto"/>
                      <w:spacing w:val="1"/>
                    </w:rPr>
                  </w:pPr>
                  <w:r>
                    <w:rPr>
                      <w:rFonts w:hint="eastAsia"/>
                      <w:color w:val="auto"/>
                      <w:spacing w:val="1"/>
                    </w:rPr>
                    <w:t>粉料筒仓除尘器</w:t>
                  </w:r>
                </w:p>
              </w:tc>
              <w:tc>
                <w:tcPr>
                  <w:tcW w:w="481" w:type="pct"/>
                  <w:vAlign w:val="center"/>
                </w:tcPr>
                <w:p>
                  <w:pPr>
                    <w:pStyle w:val="86"/>
                    <w:adjustRightInd/>
                    <w:spacing w:line="240" w:lineRule="auto"/>
                    <w:ind w:firstLine="0" w:firstLineChars="0"/>
                    <w:jc w:val="center"/>
                    <w:rPr>
                      <w:color w:val="auto"/>
                      <w:sz w:val="24"/>
                    </w:rPr>
                  </w:pPr>
                  <w:r>
                    <w:rPr>
                      <w:rFonts w:hint="eastAsia"/>
                      <w:color w:val="auto"/>
                      <w:sz w:val="24"/>
                    </w:rPr>
                    <w:t>8</w:t>
                  </w:r>
                  <w:r>
                    <w:rPr>
                      <w:color w:val="auto"/>
                      <w:sz w:val="24"/>
                    </w:rPr>
                    <w:t>套</w:t>
                  </w:r>
                </w:p>
              </w:tc>
              <w:tc>
                <w:tcPr>
                  <w:tcW w:w="616" w:type="pct"/>
                  <w:vAlign w:val="center"/>
                </w:tcPr>
                <w:p>
                  <w:pPr>
                    <w:ind w:firstLine="0" w:firstLineChars="0"/>
                    <w:jc w:val="center"/>
                    <w:rPr>
                      <w:color w:val="auto"/>
                    </w:rPr>
                  </w:pPr>
                  <w:r>
                    <w:rPr>
                      <w:rFonts w:hint="eastAsia"/>
                      <w:color w:val="auto"/>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vAlign w:val="center"/>
                </w:tcPr>
                <w:p>
                  <w:pPr>
                    <w:pStyle w:val="11"/>
                    <w:ind w:firstLine="0" w:firstLineChars="0"/>
                    <w:jc w:val="center"/>
                    <w:rPr>
                      <w:color w:val="auto"/>
                    </w:rPr>
                  </w:pPr>
                </w:p>
              </w:tc>
              <w:tc>
                <w:tcPr>
                  <w:tcW w:w="416" w:type="pct"/>
                  <w:vMerge w:val="continue"/>
                  <w:vAlign w:val="center"/>
                </w:tcPr>
                <w:p>
                  <w:pPr>
                    <w:pStyle w:val="11"/>
                    <w:ind w:firstLine="0" w:firstLineChars="0"/>
                    <w:jc w:val="center"/>
                    <w:rPr>
                      <w:color w:val="auto"/>
                    </w:rPr>
                  </w:pPr>
                </w:p>
              </w:tc>
              <w:tc>
                <w:tcPr>
                  <w:tcW w:w="927" w:type="pct"/>
                  <w:vMerge w:val="continue"/>
                  <w:vAlign w:val="center"/>
                </w:tcPr>
                <w:p>
                  <w:pPr>
                    <w:widowControl/>
                    <w:adjustRightInd w:val="0"/>
                    <w:snapToGrid w:val="0"/>
                    <w:ind w:firstLine="0" w:firstLineChars="0"/>
                    <w:jc w:val="center"/>
                    <w:rPr>
                      <w:color w:val="auto"/>
                    </w:rPr>
                  </w:pPr>
                </w:p>
              </w:tc>
              <w:tc>
                <w:tcPr>
                  <w:tcW w:w="2211" w:type="pct"/>
                  <w:vAlign w:val="center"/>
                </w:tcPr>
                <w:p>
                  <w:pPr>
                    <w:tabs>
                      <w:tab w:val="left" w:pos="3255"/>
                    </w:tabs>
                    <w:ind w:firstLine="0" w:firstLineChars="0"/>
                    <w:jc w:val="center"/>
                    <w:rPr>
                      <w:color w:val="auto"/>
                      <w:spacing w:val="1"/>
                    </w:rPr>
                  </w:pPr>
                  <w:r>
                    <w:rPr>
                      <w:color w:val="auto"/>
                    </w:rPr>
                    <w:t>配套喷雾洒水抑尘设施</w:t>
                  </w:r>
                </w:p>
              </w:tc>
              <w:tc>
                <w:tcPr>
                  <w:tcW w:w="481" w:type="pct"/>
                  <w:vAlign w:val="center"/>
                </w:tcPr>
                <w:p>
                  <w:pPr>
                    <w:pStyle w:val="86"/>
                    <w:adjustRightInd/>
                    <w:spacing w:line="240" w:lineRule="auto"/>
                    <w:ind w:firstLine="0" w:firstLineChars="0"/>
                    <w:jc w:val="center"/>
                    <w:rPr>
                      <w:color w:val="auto"/>
                      <w:sz w:val="24"/>
                    </w:rPr>
                  </w:pPr>
                  <w:r>
                    <w:rPr>
                      <w:rFonts w:hint="eastAsia"/>
                      <w:color w:val="auto"/>
                      <w:sz w:val="24"/>
                    </w:rPr>
                    <w:t>3套</w:t>
                  </w:r>
                </w:p>
              </w:tc>
              <w:tc>
                <w:tcPr>
                  <w:tcW w:w="616" w:type="pct"/>
                  <w:vAlign w:val="center"/>
                </w:tcPr>
                <w:p>
                  <w:pPr>
                    <w:ind w:firstLine="0" w:firstLineChars="0"/>
                    <w:jc w:val="center"/>
                    <w:rPr>
                      <w:color w:val="auto"/>
                    </w:rPr>
                  </w:pPr>
                  <w:r>
                    <w:rPr>
                      <w:rFonts w:hint="eastAsia"/>
                      <w:color w:val="auto"/>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vAlign w:val="center"/>
                </w:tcPr>
                <w:p>
                  <w:pPr>
                    <w:pStyle w:val="11"/>
                    <w:ind w:firstLine="0" w:firstLineChars="0"/>
                    <w:jc w:val="center"/>
                    <w:rPr>
                      <w:color w:val="auto"/>
                    </w:rPr>
                  </w:pPr>
                </w:p>
              </w:tc>
              <w:tc>
                <w:tcPr>
                  <w:tcW w:w="416" w:type="pct"/>
                  <w:vMerge w:val="continue"/>
                  <w:vAlign w:val="center"/>
                </w:tcPr>
                <w:p>
                  <w:pPr>
                    <w:pStyle w:val="11"/>
                    <w:ind w:firstLine="0" w:firstLineChars="0"/>
                    <w:jc w:val="center"/>
                    <w:rPr>
                      <w:color w:val="auto"/>
                    </w:rPr>
                  </w:pPr>
                </w:p>
              </w:tc>
              <w:tc>
                <w:tcPr>
                  <w:tcW w:w="927" w:type="pct"/>
                  <w:vAlign w:val="center"/>
                </w:tcPr>
                <w:p>
                  <w:pPr>
                    <w:widowControl/>
                    <w:adjustRightInd w:val="0"/>
                    <w:snapToGrid w:val="0"/>
                    <w:ind w:firstLine="0" w:firstLineChars="0"/>
                    <w:jc w:val="center"/>
                    <w:rPr>
                      <w:color w:val="auto"/>
                    </w:rPr>
                  </w:pPr>
                  <w:r>
                    <w:rPr>
                      <w:rFonts w:hint="eastAsia"/>
                      <w:color w:val="auto"/>
                    </w:rPr>
                    <w:t>导热油炉废气</w:t>
                  </w:r>
                  <w:r>
                    <w:rPr>
                      <w:color w:val="auto"/>
                    </w:rPr>
                    <w:t>（DA001）</w:t>
                  </w:r>
                </w:p>
              </w:tc>
              <w:tc>
                <w:tcPr>
                  <w:tcW w:w="2211" w:type="pct"/>
                  <w:vAlign w:val="center"/>
                </w:tcPr>
                <w:p>
                  <w:pPr>
                    <w:tabs>
                      <w:tab w:val="left" w:pos="3255"/>
                    </w:tabs>
                    <w:ind w:firstLine="0" w:firstLineChars="0"/>
                    <w:jc w:val="center"/>
                    <w:rPr>
                      <w:color w:val="auto"/>
                    </w:rPr>
                  </w:pPr>
                  <w:r>
                    <w:rPr>
                      <w:color w:val="auto"/>
                    </w:rPr>
                    <w:t>使用废气通过高度15m，直径0.5m的排气筒（DA001）排放</w:t>
                  </w:r>
                </w:p>
              </w:tc>
              <w:tc>
                <w:tcPr>
                  <w:tcW w:w="481" w:type="pct"/>
                  <w:vAlign w:val="center"/>
                </w:tcPr>
                <w:p>
                  <w:pPr>
                    <w:pStyle w:val="86"/>
                    <w:adjustRightInd/>
                    <w:spacing w:line="240" w:lineRule="auto"/>
                    <w:ind w:firstLine="0" w:firstLineChars="0"/>
                    <w:jc w:val="center"/>
                    <w:rPr>
                      <w:color w:val="auto"/>
                      <w:sz w:val="24"/>
                    </w:rPr>
                  </w:pPr>
                  <w:r>
                    <w:rPr>
                      <w:rFonts w:hint="eastAsia"/>
                      <w:color w:val="auto"/>
                      <w:sz w:val="24"/>
                    </w:rPr>
                    <w:t>1套</w:t>
                  </w:r>
                </w:p>
              </w:tc>
              <w:tc>
                <w:tcPr>
                  <w:tcW w:w="616" w:type="pct"/>
                  <w:vAlign w:val="center"/>
                </w:tcPr>
                <w:p>
                  <w:pPr>
                    <w:ind w:firstLine="0" w:firstLineChars="0"/>
                    <w:jc w:val="center"/>
                    <w:rPr>
                      <w:color w:val="auto"/>
                    </w:rPr>
                  </w:pPr>
                  <w:r>
                    <w:rPr>
                      <w:rFonts w:hint="eastAsia"/>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vAlign w:val="center"/>
                </w:tcPr>
                <w:p>
                  <w:pPr>
                    <w:pStyle w:val="11"/>
                    <w:ind w:firstLine="0" w:firstLineChars="0"/>
                    <w:jc w:val="center"/>
                    <w:rPr>
                      <w:color w:val="auto"/>
                    </w:rPr>
                  </w:pPr>
                </w:p>
              </w:tc>
              <w:tc>
                <w:tcPr>
                  <w:tcW w:w="416" w:type="pct"/>
                  <w:vMerge w:val="continue"/>
                  <w:vAlign w:val="center"/>
                </w:tcPr>
                <w:p>
                  <w:pPr>
                    <w:pStyle w:val="11"/>
                    <w:ind w:firstLine="0" w:firstLineChars="0"/>
                    <w:jc w:val="center"/>
                    <w:rPr>
                      <w:color w:val="auto"/>
                    </w:rPr>
                  </w:pPr>
                </w:p>
              </w:tc>
              <w:tc>
                <w:tcPr>
                  <w:tcW w:w="927" w:type="pct"/>
                  <w:vAlign w:val="center"/>
                </w:tcPr>
                <w:p>
                  <w:pPr>
                    <w:widowControl/>
                    <w:adjustRightInd w:val="0"/>
                    <w:snapToGrid w:val="0"/>
                    <w:ind w:firstLine="0" w:firstLineChars="0"/>
                    <w:jc w:val="center"/>
                    <w:rPr>
                      <w:color w:val="auto"/>
                    </w:rPr>
                  </w:pPr>
                  <w:r>
                    <w:rPr>
                      <w:rFonts w:hint="eastAsia" w:asciiTheme="minorEastAsia" w:hAnsiTheme="minorEastAsia" w:eastAsiaTheme="minorEastAsia" w:cstheme="minorEastAsia"/>
                      <w:color w:val="auto"/>
                    </w:rPr>
                    <w:t>沥青加热、拌合、</w:t>
                  </w:r>
                  <w:r>
                    <w:rPr>
                      <w:rFonts w:hint="eastAsia"/>
                      <w:color w:val="auto"/>
                    </w:rPr>
                    <w:t>骨料烘干废气（DA002）</w:t>
                  </w:r>
                </w:p>
              </w:tc>
              <w:tc>
                <w:tcPr>
                  <w:tcW w:w="2211" w:type="pct"/>
                  <w:vAlign w:val="center"/>
                </w:tcPr>
                <w:p>
                  <w:pPr>
                    <w:tabs>
                      <w:tab w:val="left" w:pos="3255"/>
                    </w:tabs>
                    <w:ind w:firstLine="0" w:firstLineChars="0"/>
                    <w:jc w:val="center"/>
                    <w:rPr>
                      <w:color w:val="auto"/>
                    </w:rPr>
                  </w:pPr>
                  <w:r>
                    <w:rPr>
                      <w:color w:val="auto"/>
                    </w:rPr>
                    <w:t>沥青加热、拌合采用全封闭式，沥青罐及拌合站沥青烟负压收集后进入经负压抽风引至</w:t>
                  </w:r>
                  <w:r>
                    <w:rPr>
                      <w:rFonts w:hint="eastAsia"/>
                      <w:color w:val="auto"/>
                    </w:rPr>
                    <w:t>电捕焦油器+</w:t>
                  </w:r>
                  <w:r>
                    <w:rPr>
                      <w:color w:val="auto"/>
                    </w:rPr>
                    <w:t>活性炭吸附处理（效率</w:t>
                  </w:r>
                  <w:r>
                    <w:rPr>
                      <w:rFonts w:hint="eastAsia"/>
                      <w:color w:val="auto"/>
                    </w:rPr>
                    <w:t>90</w:t>
                  </w:r>
                  <w:r>
                    <w:rPr>
                      <w:color w:val="auto"/>
                    </w:rPr>
                    <w:t>%）后，引排气筒入DA002排放；骨料烘干使用超低氮燃烧器，废气通过袋式除尘器（效率99%）处理后，引排气筒入DA002排放</w:t>
                  </w:r>
                </w:p>
              </w:tc>
              <w:tc>
                <w:tcPr>
                  <w:tcW w:w="481" w:type="pct"/>
                  <w:vAlign w:val="center"/>
                </w:tcPr>
                <w:p>
                  <w:pPr>
                    <w:pStyle w:val="86"/>
                    <w:adjustRightInd/>
                    <w:spacing w:line="240" w:lineRule="auto"/>
                    <w:ind w:firstLine="0" w:firstLineChars="0"/>
                    <w:jc w:val="center"/>
                    <w:rPr>
                      <w:rFonts w:eastAsia="宋体"/>
                      <w:color w:val="auto"/>
                      <w:sz w:val="24"/>
                    </w:rPr>
                  </w:pPr>
                  <w:r>
                    <w:rPr>
                      <w:color w:val="auto"/>
                      <w:sz w:val="24"/>
                    </w:rPr>
                    <w:t>1套</w:t>
                  </w:r>
                </w:p>
              </w:tc>
              <w:tc>
                <w:tcPr>
                  <w:tcW w:w="616" w:type="pct"/>
                  <w:vAlign w:val="center"/>
                </w:tcPr>
                <w:p>
                  <w:pPr>
                    <w:ind w:firstLine="0" w:firstLineChars="0"/>
                    <w:jc w:val="center"/>
                    <w:rPr>
                      <w:color w:val="auto"/>
                    </w:rPr>
                  </w:pPr>
                  <w:r>
                    <w:rPr>
                      <w:rFonts w:hint="eastAsia"/>
                      <w:color w:val="auto"/>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vAlign w:val="center"/>
                </w:tcPr>
                <w:p>
                  <w:pPr>
                    <w:pStyle w:val="11"/>
                    <w:ind w:firstLine="0" w:firstLineChars="0"/>
                    <w:jc w:val="center"/>
                    <w:rPr>
                      <w:color w:val="auto"/>
                    </w:rPr>
                  </w:pPr>
                </w:p>
              </w:tc>
              <w:tc>
                <w:tcPr>
                  <w:tcW w:w="416" w:type="pct"/>
                  <w:vMerge w:val="continue"/>
                  <w:vAlign w:val="center"/>
                </w:tcPr>
                <w:p>
                  <w:pPr>
                    <w:pStyle w:val="11"/>
                    <w:ind w:firstLine="0" w:firstLineChars="0"/>
                    <w:jc w:val="center"/>
                    <w:rPr>
                      <w:color w:val="auto"/>
                    </w:rPr>
                  </w:pPr>
                </w:p>
              </w:tc>
              <w:tc>
                <w:tcPr>
                  <w:tcW w:w="927" w:type="pct"/>
                  <w:vAlign w:val="center"/>
                </w:tcPr>
                <w:p>
                  <w:pPr>
                    <w:widowControl/>
                    <w:adjustRightInd w:val="0"/>
                    <w:snapToGrid w:val="0"/>
                    <w:ind w:firstLine="0" w:firstLineChars="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食堂油烟</w:t>
                  </w:r>
                </w:p>
              </w:tc>
              <w:tc>
                <w:tcPr>
                  <w:tcW w:w="2211" w:type="pct"/>
                  <w:vAlign w:val="center"/>
                </w:tcPr>
                <w:p>
                  <w:pPr>
                    <w:tabs>
                      <w:tab w:val="left" w:pos="3255"/>
                    </w:tabs>
                    <w:ind w:firstLine="0" w:firstLineChars="0"/>
                    <w:jc w:val="center"/>
                    <w:rPr>
                      <w:color w:val="auto"/>
                    </w:rPr>
                  </w:pPr>
                  <w:r>
                    <w:rPr>
                      <w:color w:val="auto"/>
                    </w:rPr>
                    <w:t>安装油烟净化器，油烟净化器的风量为</w:t>
                  </w:r>
                  <w:r>
                    <w:rPr>
                      <w:rFonts w:hint="eastAsia"/>
                      <w:color w:val="auto"/>
                    </w:rPr>
                    <w:t>3</w:t>
                  </w:r>
                  <w:r>
                    <w:rPr>
                      <w:color w:val="auto"/>
                    </w:rPr>
                    <w:t>000m3/h，油烟去除效率为80%</w:t>
                  </w:r>
                </w:p>
              </w:tc>
              <w:tc>
                <w:tcPr>
                  <w:tcW w:w="481" w:type="pct"/>
                  <w:vAlign w:val="center"/>
                </w:tcPr>
                <w:p>
                  <w:pPr>
                    <w:pStyle w:val="86"/>
                    <w:adjustRightInd/>
                    <w:spacing w:line="240" w:lineRule="auto"/>
                    <w:ind w:firstLine="0" w:firstLineChars="0"/>
                    <w:jc w:val="center"/>
                    <w:rPr>
                      <w:color w:val="auto"/>
                      <w:sz w:val="24"/>
                    </w:rPr>
                  </w:pPr>
                  <w:r>
                    <w:rPr>
                      <w:color w:val="auto"/>
                      <w:sz w:val="24"/>
                    </w:rPr>
                    <w:t>1套</w:t>
                  </w:r>
                </w:p>
              </w:tc>
              <w:tc>
                <w:tcPr>
                  <w:tcW w:w="616" w:type="pct"/>
                  <w:vAlign w:val="center"/>
                </w:tcPr>
                <w:p>
                  <w:pPr>
                    <w:ind w:firstLine="0" w:firstLineChars="0"/>
                    <w:jc w:val="center"/>
                    <w:rPr>
                      <w:color w:val="auto"/>
                    </w:rPr>
                  </w:pPr>
                  <w:r>
                    <w:rPr>
                      <w:rFonts w:hint="eastAsia"/>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vAlign w:val="center"/>
                </w:tcPr>
                <w:p>
                  <w:pPr>
                    <w:pStyle w:val="11"/>
                    <w:ind w:firstLine="0" w:firstLineChars="0"/>
                    <w:jc w:val="center"/>
                    <w:rPr>
                      <w:color w:val="auto"/>
                    </w:rPr>
                  </w:pPr>
                </w:p>
              </w:tc>
              <w:tc>
                <w:tcPr>
                  <w:tcW w:w="416" w:type="pct"/>
                  <w:vMerge w:val="restart"/>
                  <w:vAlign w:val="center"/>
                </w:tcPr>
                <w:p>
                  <w:pPr>
                    <w:pStyle w:val="11"/>
                    <w:ind w:firstLine="0" w:firstLineChars="0"/>
                    <w:jc w:val="center"/>
                    <w:rPr>
                      <w:color w:val="auto"/>
                    </w:rPr>
                  </w:pPr>
                  <w:r>
                    <w:rPr>
                      <w:rFonts w:hint="eastAsia"/>
                      <w:color w:val="auto"/>
                    </w:rPr>
                    <w:t>废水治理</w:t>
                  </w:r>
                </w:p>
              </w:tc>
              <w:tc>
                <w:tcPr>
                  <w:tcW w:w="927" w:type="pct"/>
                  <w:vAlign w:val="center"/>
                </w:tcPr>
                <w:p>
                  <w:pPr>
                    <w:widowControl/>
                    <w:adjustRightInd w:val="0"/>
                    <w:snapToGrid w:val="0"/>
                    <w:ind w:firstLine="0" w:firstLineChars="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生活污水</w:t>
                  </w:r>
                </w:p>
              </w:tc>
              <w:tc>
                <w:tcPr>
                  <w:tcW w:w="2211" w:type="pct"/>
                  <w:vAlign w:val="center"/>
                </w:tcPr>
                <w:p>
                  <w:pPr>
                    <w:adjustRightInd w:val="0"/>
                    <w:snapToGrid w:val="0"/>
                    <w:ind w:firstLine="0" w:firstLineChars="0"/>
                    <w:jc w:val="center"/>
                    <w:rPr>
                      <w:color w:val="auto"/>
                    </w:rPr>
                  </w:pPr>
                  <w:r>
                    <w:rPr>
                      <w:rFonts w:hint="eastAsia" w:ascii="宋体" w:hAnsi="宋体" w:cs="宋体"/>
                      <w:color w:val="auto"/>
                    </w:rPr>
                    <w:t>食堂产生的废水经隔油器（1个30m</w:t>
                  </w:r>
                  <w:r>
                    <w:rPr>
                      <w:rFonts w:hint="eastAsia" w:ascii="宋体" w:hAnsi="宋体" w:cs="宋体"/>
                      <w:color w:val="auto"/>
                      <w:vertAlign w:val="superscript"/>
                    </w:rPr>
                    <w:t>3</w:t>
                  </w:r>
                  <w:r>
                    <w:rPr>
                      <w:rFonts w:hint="eastAsia" w:ascii="宋体" w:hAnsi="宋体" w:cs="宋体"/>
                      <w:color w:val="auto"/>
                    </w:rPr>
                    <w:t>）处理后与生活污水一同经化粪池(玻璃钢化粪池2个，单个容积为50m</w:t>
                  </w:r>
                  <w:r>
                    <w:rPr>
                      <w:rFonts w:hint="eastAsia" w:ascii="宋体" w:hAnsi="宋体" w:cs="宋体"/>
                      <w:color w:val="auto"/>
                      <w:vertAlign w:val="superscript"/>
                    </w:rPr>
                    <w:t>3</w:t>
                  </w:r>
                  <w:r>
                    <w:rPr>
                      <w:rFonts w:hint="eastAsia" w:ascii="宋体" w:hAnsi="宋体" w:cs="宋体"/>
                      <w:color w:val="auto"/>
                    </w:rPr>
                    <w:t>)预处理后排入园区污水管网</w:t>
                  </w:r>
                </w:p>
              </w:tc>
              <w:tc>
                <w:tcPr>
                  <w:tcW w:w="481" w:type="pct"/>
                  <w:vAlign w:val="center"/>
                </w:tcPr>
                <w:p>
                  <w:pPr>
                    <w:pStyle w:val="86"/>
                    <w:adjustRightInd/>
                    <w:spacing w:line="240" w:lineRule="auto"/>
                    <w:ind w:firstLine="0" w:firstLineChars="0"/>
                    <w:jc w:val="center"/>
                    <w:rPr>
                      <w:color w:val="auto"/>
                      <w:sz w:val="24"/>
                    </w:rPr>
                  </w:pPr>
                  <w:r>
                    <w:rPr>
                      <w:color w:val="auto"/>
                      <w:sz w:val="24"/>
                    </w:rPr>
                    <w:t>1套</w:t>
                  </w:r>
                </w:p>
              </w:tc>
              <w:tc>
                <w:tcPr>
                  <w:tcW w:w="616" w:type="pct"/>
                  <w:vAlign w:val="center"/>
                </w:tcPr>
                <w:p>
                  <w:pPr>
                    <w:ind w:firstLine="0" w:firstLineChars="0"/>
                    <w:jc w:val="center"/>
                    <w:rPr>
                      <w:color w:val="auto"/>
                    </w:rPr>
                  </w:pPr>
                  <w:r>
                    <w:rPr>
                      <w:rFonts w:hint="eastAsia"/>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vAlign w:val="center"/>
                </w:tcPr>
                <w:p>
                  <w:pPr>
                    <w:pStyle w:val="11"/>
                    <w:ind w:firstLine="0" w:firstLineChars="0"/>
                    <w:jc w:val="center"/>
                    <w:rPr>
                      <w:color w:val="auto"/>
                    </w:rPr>
                  </w:pPr>
                </w:p>
              </w:tc>
              <w:tc>
                <w:tcPr>
                  <w:tcW w:w="416" w:type="pct"/>
                  <w:vMerge w:val="continue"/>
                  <w:vAlign w:val="center"/>
                </w:tcPr>
                <w:p>
                  <w:pPr>
                    <w:pStyle w:val="11"/>
                    <w:ind w:firstLine="0" w:firstLineChars="0"/>
                    <w:jc w:val="center"/>
                    <w:rPr>
                      <w:color w:val="auto"/>
                    </w:rPr>
                  </w:pPr>
                </w:p>
              </w:tc>
              <w:tc>
                <w:tcPr>
                  <w:tcW w:w="927" w:type="pct"/>
                  <w:vAlign w:val="center"/>
                </w:tcPr>
                <w:p>
                  <w:pPr>
                    <w:widowControl/>
                    <w:adjustRightInd w:val="0"/>
                    <w:snapToGrid w:val="0"/>
                    <w:ind w:firstLine="0" w:firstLineChars="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初期雨水</w:t>
                  </w:r>
                </w:p>
              </w:tc>
              <w:tc>
                <w:tcPr>
                  <w:tcW w:w="2211" w:type="pct"/>
                  <w:vAlign w:val="center"/>
                </w:tcPr>
                <w:p>
                  <w:pPr>
                    <w:ind w:firstLine="0" w:firstLineChars="0"/>
                    <w:jc w:val="center"/>
                    <w:rPr>
                      <w:color w:val="auto"/>
                    </w:rPr>
                  </w:pPr>
                  <w:r>
                    <w:rPr>
                      <w:rFonts w:hint="eastAsia" w:ascii="宋体" w:hAnsi="宋体" w:cs="宋体"/>
                      <w:color w:val="auto"/>
                    </w:rPr>
                    <w:t>在厂区地势最低处设置初期雨水收集池一座，</w:t>
                  </w:r>
                  <w:r>
                    <w:rPr>
                      <w:rFonts w:hint="eastAsia"/>
                      <w:color w:val="auto"/>
                    </w:rPr>
                    <w:t>初期雨水收集池容积90</w:t>
                  </w:r>
                  <w:r>
                    <w:rPr>
                      <w:color w:val="auto"/>
                    </w:rPr>
                    <w:t>m</w:t>
                  </w:r>
                  <w:r>
                    <w:rPr>
                      <w:color w:val="auto"/>
                      <w:vertAlign w:val="superscript"/>
                    </w:rPr>
                    <w:t>3</w:t>
                  </w:r>
                  <w:r>
                    <w:rPr>
                      <w:rFonts w:hint="eastAsia"/>
                      <w:color w:val="auto"/>
                    </w:rPr>
                    <w:t>，池底及池壁均使用HDPE进行防渗</w:t>
                  </w:r>
                </w:p>
              </w:tc>
              <w:tc>
                <w:tcPr>
                  <w:tcW w:w="481" w:type="pct"/>
                  <w:vAlign w:val="center"/>
                </w:tcPr>
                <w:p>
                  <w:pPr>
                    <w:pStyle w:val="86"/>
                    <w:adjustRightInd/>
                    <w:spacing w:line="240" w:lineRule="auto"/>
                    <w:ind w:firstLine="0" w:firstLineChars="0"/>
                    <w:jc w:val="center"/>
                    <w:rPr>
                      <w:color w:val="auto"/>
                      <w:sz w:val="24"/>
                    </w:rPr>
                  </w:pPr>
                  <w:r>
                    <w:rPr>
                      <w:color w:val="auto"/>
                      <w:sz w:val="24"/>
                    </w:rPr>
                    <w:t>1套</w:t>
                  </w:r>
                </w:p>
              </w:tc>
              <w:tc>
                <w:tcPr>
                  <w:tcW w:w="616" w:type="pct"/>
                  <w:vAlign w:val="center"/>
                </w:tcPr>
                <w:p>
                  <w:pPr>
                    <w:ind w:firstLine="0" w:firstLineChars="0"/>
                    <w:jc w:val="center"/>
                    <w:rPr>
                      <w:color w:val="auto"/>
                    </w:rPr>
                  </w:pPr>
                  <w:r>
                    <w:rPr>
                      <w:rFonts w:hint="eastAsia"/>
                      <w:color w:val="auto"/>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vAlign w:val="center"/>
                </w:tcPr>
                <w:p>
                  <w:pPr>
                    <w:pStyle w:val="11"/>
                    <w:ind w:firstLine="0" w:firstLineChars="0"/>
                    <w:jc w:val="center"/>
                    <w:rPr>
                      <w:color w:val="auto"/>
                    </w:rPr>
                  </w:pPr>
                </w:p>
              </w:tc>
              <w:tc>
                <w:tcPr>
                  <w:tcW w:w="416" w:type="pct"/>
                  <w:vMerge w:val="continue"/>
                  <w:vAlign w:val="center"/>
                </w:tcPr>
                <w:p>
                  <w:pPr>
                    <w:pStyle w:val="11"/>
                    <w:ind w:firstLine="0" w:firstLineChars="0"/>
                    <w:jc w:val="center"/>
                    <w:rPr>
                      <w:color w:val="auto"/>
                    </w:rPr>
                  </w:pPr>
                </w:p>
              </w:tc>
              <w:tc>
                <w:tcPr>
                  <w:tcW w:w="927" w:type="pct"/>
                  <w:vAlign w:val="center"/>
                </w:tcPr>
                <w:p>
                  <w:pPr>
                    <w:widowControl/>
                    <w:adjustRightInd w:val="0"/>
                    <w:snapToGrid w:val="0"/>
                    <w:ind w:firstLine="0" w:firstLineChars="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车辆清洗废水</w:t>
                  </w:r>
                </w:p>
              </w:tc>
              <w:tc>
                <w:tcPr>
                  <w:tcW w:w="2211" w:type="pct"/>
                  <w:vAlign w:val="center"/>
                </w:tcPr>
                <w:p>
                  <w:pPr>
                    <w:ind w:firstLine="0" w:firstLineChars="0"/>
                    <w:jc w:val="center"/>
                    <w:rPr>
                      <w:color w:val="auto"/>
                    </w:rPr>
                  </w:pPr>
                  <w:r>
                    <w:rPr>
                      <w:rFonts w:hint="eastAsia"/>
                      <w:color w:val="auto"/>
                      <w:spacing w:val="1"/>
                    </w:rPr>
                    <w:t>在洗车平台处设置</w:t>
                  </w:r>
                  <w:r>
                    <w:rPr>
                      <w:color w:val="auto"/>
                      <w:spacing w:val="1"/>
                    </w:rPr>
                    <w:t>沉淀池</w:t>
                  </w:r>
                  <w:r>
                    <w:rPr>
                      <w:rFonts w:hint="eastAsia"/>
                      <w:color w:val="auto"/>
                      <w:spacing w:val="1"/>
                    </w:rPr>
                    <w:t>一座，容积为60m</w:t>
                  </w:r>
                  <w:r>
                    <w:rPr>
                      <w:rFonts w:hint="eastAsia"/>
                      <w:color w:val="auto"/>
                      <w:spacing w:val="1"/>
                      <w:vertAlign w:val="superscript"/>
                    </w:rPr>
                    <w:t>3</w:t>
                  </w:r>
                  <w:r>
                    <w:rPr>
                      <w:rFonts w:hint="eastAsia"/>
                      <w:color w:val="auto"/>
                      <w:spacing w:val="1"/>
                    </w:rPr>
                    <w:t>，混凝土浇筑</w:t>
                  </w:r>
                </w:p>
              </w:tc>
              <w:tc>
                <w:tcPr>
                  <w:tcW w:w="481" w:type="pct"/>
                  <w:vAlign w:val="center"/>
                </w:tcPr>
                <w:p>
                  <w:pPr>
                    <w:pStyle w:val="86"/>
                    <w:adjustRightInd/>
                    <w:spacing w:line="240" w:lineRule="auto"/>
                    <w:ind w:firstLine="0" w:firstLineChars="0"/>
                    <w:jc w:val="center"/>
                    <w:rPr>
                      <w:color w:val="auto"/>
                      <w:sz w:val="24"/>
                    </w:rPr>
                  </w:pPr>
                  <w:r>
                    <w:rPr>
                      <w:color w:val="auto"/>
                      <w:sz w:val="24"/>
                    </w:rPr>
                    <w:t>1套</w:t>
                  </w:r>
                </w:p>
              </w:tc>
              <w:tc>
                <w:tcPr>
                  <w:tcW w:w="616" w:type="pct"/>
                  <w:vAlign w:val="center"/>
                </w:tcPr>
                <w:p>
                  <w:pPr>
                    <w:ind w:firstLine="0" w:firstLineChars="0"/>
                    <w:jc w:val="center"/>
                    <w:rPr>
                      <w:color w:val="auto"/>
                    </w:rPr>
                  </w:pPr>
                  <w:r>
                    <w:rPr>
                      <w:rFonts w:hint="eastAsia"/>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vAlign w:val="center"/>
                </w:tcPr>
                <w:p>
                  <w:pPr>
                    <w:pStyle w:val="11"/>
                    <w:ind w:firstLine="0" w:firstLineChars="0"/>
                    <w:jc w:val="center"/>
                    <w:rPr>
                      <w:color w:val="auto"/>
                    </w:rPr>
                  </w:pPr>
                </w:p>
              </w:tc>
              <w:tc>
                <w:tcPr>
                  <w:tcW w:w="1344" w:type="pct"/>
                  <w:gridSpan w:val="2"/>
                  <w:vAlign w:val="center"/>
                </w:tcPr>
                <w:p>
                  <w:pPr>
                    <w:tabs>
                      <w:tab w:val="left" w:pos="3255"/>
                    </w:tabs>
                    <w:ind w:firstLine="0" w:firstLineChars="0"/>
                    <w:jc w:val="center"/>
                    <w:rPr>
                      <w:color w:val="auto"/>
                    </w:rPr>
                  </w:pPr>
                  <w:r>
                    <w:rPr>
                      <w:color w:val="auto"/>
                    </w:rPr>
                    <w:t>噪声治理</w:t>
                  </w:r>
                </w:p>
              </w:tc>
              <w:tc>
                <w:tcPr>
                  <w:tcW w:w="2211" w:type="pct"/>
                  <w:vAlign w:val="center"/>
                </w:tcPr>
                <w:p>
                  <w:pPr>
                    <w:ind w:firstLine="0" w:firstLineChars="0"/>
                    <w:jc w:val="center"/>
                    <w:rPr>
                      <w:color w:val="auto"/>
                    </w:rPr>
                  </w:pPr>
                  <w:r>
                    <w:rPr>
                      <w:color w:val="auto"/>
                    </w:rPr>
                    <w:t>隔音、降噪、消声减振装置。</w:t>
                  </w:r>
                </w:p>
              </w:tc>
              <w:tc>
                <w:tcPr>
                  <w:tcW w:w="481" w:type="pct"/>
                  <w:vAlign w:val="center"/>
                </w:tcPr>
                <w:p>
                  <w:pPr>
                    <w:ind w:firstLine="0" w:firstLineChars="0"/>
                    <w:jc w:val="center"/>
                    <w:rPr>
                      <w:color w:val="auto"/>
                    </w:rPr>
                  </w:pPr>
                  <w:r>
                    <w:rPr>
                      <w:color w:val="auto"/>
                    </w:rPr>
                    <w:t>/</w:t>
                  </w:r>
                </w:p>
              </w:tc>
              <w:tc>
                <w:tcPr>
                  <w:tcW w:w="616" w:type="pct"/>
                  <w:vAlign w:val="center"/>
                </w:tcPr>
                <w:p>
                  <w:pPr>
                    <w:ind w:firstLine="0" w:firstLineChars="0"/>
                    <w:jc w:val="center"/>
                    <w:rPr>
                      <w:color w:val="auto"/>
                    </w:rPr>
                  </w:pPr>
                  <w:r>
                    <w:rPr>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vAlign w:val="center"/>
                </w:tcPr>
                <w:p>
                  <w:pPr>
                    <w:pStyle w:val="11"/>
                    <w:ind w:firstLine="0" w:firstLineChars="0"/>
                    <w:jc w:val="center"/>
                    <w:rPr>
                      <w:color w:val="auto"/>
                    </w:rPr>
                  </w:pPr>
                </w:p>
              </w:tc>
              <w:tc>
                <w:tcPr>
                  <w:tcW w:w="1344" w:type="pct"/>
                  <w:gridSpan w:val="2"/>
                  <w:vMerge w:val="restart"/>
                  <w:vAlign w:val="center"/>
                </w:tcPr>
                <w:p>
                  <w:pPr>
                    <w:pStyle w:val="11"/>
                    <w:ind w:firstLine="0" w:firstLineChars="0"/>
                    <w:jc w:val="center"/>
                    <w:rPr>
                      <w:color w:val="auto"/>
                    </w:rPr>
                  </w:pPr>
                  <w:r>
                    <w:rPr>
                      <w:color w:val="auto"/>
                    </w:rPr>
                    <w:t>固废治理</w:t>
                  </w:r>
                </w:p>
              </w:tc>
              <w:tc>
                <w:tcPr>
                  <w:tcW w:w="2211" w:type="pct"/>
                  <w:vAlign w:val="center"/>
                </w:tcPr>
                <w:p>
                  <w:pPr>
                    <w:ind w:firstLine="0" w:firstLineChars="0"/>
                    <w:jc w:val="center"/>
                    <w:rPr>
                      <w:color w:val="auto"/>
                    </w:rPr>
                  </w:pPr>
                  <w:r>
                    <w:rPr>
                      <w:color w:val="auto"/>
                    </w:rPr>
                    <w:t>带盖式生活垃圾收集桶</w:t>
                  </w:r>
                </w:p>
              </w:tc>
              <w:tc>
                <w:tcPr>
                  <w:tcW w:w="481" w:type="pct"/>
                  <w:vAlign w:val="center"/>
                </w:tcPr>
                <w:p>
                  <w:pPr>
                    <w:ind w:firstLine="0" w:firstLineChars="0"/>
                    <w:jc w:val="center"/>
                    <w:rPr>
                      <w:color w:val="auto"/>
                    </w:rPr>
                  </w:pPr>
                  <w:r>
                    <w:rPr>
                      <w:rFonts w:hint="eastAsia"/>
                      <w:color w:val="auto"/>
                    </w:rPr>
                    <w:t>10</w:t>
                  </w:r>
                  <w:r>
                    <w:rPr>
                      <w:color w:val="auto"/>
                    </w:rPr>
                    <w:t>个</w:t>
                  </w:r>
                </w:p>
              </w:tc>
              <w:tc>
                <w:tcPr>
                  <w:tcW w:w="616" w:type="pct"/>
                  <w:vAlign w:val="center"/>
                </w:tcPr>
                <w:p>
                  <w:pPr>
                    <w:ind w:firstLine="0" w:firstLineChars="0"/>
                    <w:jc w:val="center"/>
                    <w:rPr>
                      <w:color w:val="auto"/>
                    </w:rPr>
                  </w:pPr>
                  <w:r>
                    <w:rPr>
                      <w:color w:val="auto"/>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vAlign w:val="center"/>
                </w:tcPr>
                <w:p>
                  <w:pPr>
                    <w:pStyle w:val="11"/>
                    <w:ind w:firstLine="0" w:firstLineChars="0"/>
                    <w:jc w:val="center"/>
                    <w:rPr>
                      <w:color w:val="auto"/>
                    </w:rPr>
                  </w:pPr>
                </w:p>
              </w:tc>
              <w:tc>
                <w:tcPr>
                  <w:tcW w:w="1344" w:type="pct"/>
                  <w:gridSpan w:val="2"/>
                  <w:vMerge w:val="continue"/>
                  <w:vAlign w:val="center"/>
                </w:tcPr>
                <w:p>
                  <w:pPr>
                    <w:pStyle w:val="11"/>
                    <w:ind w:firstLine="0" w:firstLineChars="0"/>
                    <w:jc w:val="center"/>
                    <w:rPr>
                      <w:color w:val="auto"/>
                    </w:rPr>
                  </w:pPr>
                </w:p>
              </w:tc>
              <w:tc>
                <w:tcPr>
                  <w:tcW w:w="2211" w:type="pct"/>
                  <w:vAlign w:val="center"/>
                </w:tcPr>
                <w:p>
                  <w:pPr>
                    <w:ind w:firstLine="0" w:firstLineChars="0"/>
                    <w:jc w:val="center"/>
                    <w:rPr>
                      <w:color w:val="auto"/>
                    </w:rPr>
                  </w:pPr>
                  <w:r>
                    <w:rPr>
                      <w:color w:val="auto"/>
                    </w:rPr>
                    <w:t>1间面积为</w:t>
                  </w:r>
                  <w:r>
                    <w:rPr>
                      <w:rFonts w:hint="eastAsia"/>
                      <w:color w:val="auto"/>
                    </w:rPr>
                    <w:t>20</w:t>
                  </w:r>
                  <w:r>
                    <w:rPr>
                      <w:color w:val="auto"/>
                    </w:rPr>
                    <w:t>m</w:t>
                  </w:r>
                  <w:r>
                    <w:rPr>
                      <w:color w:val="auto"/>
                      <w:vertAlign w:val="superscript"/>
                    </w:rPr>
                    <w:t>2</w:t>
                  </w:r>
                  <w:r>
                    <w:rPr>
                      <w:color w:val="auto"/>
                    </w:rPr>
                    <w:t>的危废暂存间。</w:t>
                  </w:r>
                </w:p>
              </w:tc>
              <w:tc>
                <w:tcPr>
                  <w:tcW w:w="481" w:type="pct"/>
                  <w:vAlign w:val="center"/>
                </w:tcPr>
                <w:p>
                  <w:pPr>
                    <w:ind w:firstLine="0" w:firstLineChars="0"/>
                    <w:jc w:val="center"/>
                    <w:rPr>
                      <w:color w:val="auto"/>
                    </w:rPr>
                  </w:pPr>
                  <w:r>
                    <w:rPr>
                      <w:rFonts w:hint="eastAsia"/>
                      <w:color w:val="auto"/>
                    </w:rPr>
                    <w:t>20</w:t>
                  </w:r>
                  <w:r>
                    <w:rPr>
                      <w:color w:val="auto"/>
                    </w:rPr>
                    <w:t>m</w:t>
                  </w:r>
                  <w:r>
                    <w:rPr>
                      <w:color w:val="auto"/>
                      <w:vertAlign w:val="superscript"/>
                    </w:rPr>
                    <w:t>2</w:t>
                  </w:r>
                </w:p>
              </w:tc>
              <w:tc>
                <w:tcPr>
                  <w:tcW w:w="616" w:type="pct"/>
                  <w:vAlign w:val="center"/>
                </w:tcPr>
                <w:p>
                  <w:pPr>
                    <w:ind w:firstLine="0" w:firstLineChars="0"/>
                    <w:jc w:val="center"/>
                    <w:rPr>
                      <w:color w:val="auto"/>
                    </w:rPr>
                  </w:pPr>
                  <w:r>
                    <w:rPr>
                      <w:rFonts w:hint="eastAsia"/>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vAlign w:val="center"/>
                </w:tcPr>
                <w:p>
                  <w:pPr>
                    <w:pStyle w:val="11"/>
                    <w:ind w:firstLine="0" w:firstLineChars="0"/>
                    <w:jc w:val="center"/>
                    <w:rPr>
                      <w:color w:val="auto"/>
                    </w:rPr>
                  </w:pPr>
                </w:p>
              </w:tc>
              <w:tc>
                <w:tcPr>
                  <w:tcW w:w="1344" w:type="pct"/>
                  <w:gridSpan w:val="2"/>
                  <w:vMerge w:val="continue"/>
                  <w:vAlign w:val="center"/>
                </w:tcPr>
                <w:p>
                  <w:pPr>
                    <w:pStyle w:val="11"/>
                    <w:ind w:firstLine="0" w:firstLineChars="0"/>
                    <w:jc w:val="center"/>
                    <w:rPr>
                      <w:color w:val="auto"/>
                    </w:rPr>
                  </w:pPr>
                </w:p>
              </w:tc>
              <w:tc>
                <w:tcPr>
                  <w:tcW w:w="2211" w:type="pct"/>
                  <w:vAlign w:val="center"/>
                </w:tcPr>
                <w:p>
                  <w:pPr>
                    <w:ind w:firstLine="0" w:firstLineChars="0"/>
                    <w:jc w:val="center"/>
                    <w:rPr>
                      <w:color w:val="auto"/>
                    </w:rPr>
                  </w:pPr>
                  <w:r>
                    <w:rPr>
                      <w:color w:val="auto"/>
                    </w:rPr>
                    <w:t>危废收集桶。</w:t>
                  </w:r>
                </w:p>
              </w:tc>
              <w:tc>
                <w:tcPr>
                  <w:tcW w:w="481" w:type="pct"/>
                  <w:vAlign w:val="center"/>
                </w:tcPr>
                <w:p>
                  <w:pPr>
                    <w:ind w:firstLine="0" w:firstLineChars="0"/>
                    <w:jc w:val="center"/>
                    <w:rPr>
                      <w:color w:val="auto"/>
                    </w:rPr>
                  </w:pPr>
                  <w:r>
                    <w:rPr>
                      <w:color w:val="auto"/>
                    </w:rPr>
                    <w:t>多个</w:t>
                  </w:r>
                </w:p>
              </w:tc>
              <w:tc>
                <w:tcPr>
                  <w:tcW w:w="616" w:type="pct"/>
                  <w:vAlign w:val="center"/>
                </w:tcPr>
                <w:p>
                  <w:pPr>
                    <w:ind w:firstLine="0" w:firstLineChars="0"/>
                    <w:jc w:val="center"/>
                    <w:rPr>
                      <w:color w:val="auto"/>
                    </w:rPr>
                  </w:pPr>
                  <w:r>
                    <w:rPr>
                      <w:color w:val="auto"/>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vAlign w:val="center"/>
                </w:tcPr>
                <w:p>
                  <w:pPr>
                    <w:pStyle w:val="11"/>
                    <w:ind w:firstLine="0" w:firstLineChars="0"/>
                    <w:jc w:val="center"/>
                    <w:rPr>
                      <w:color w:val="auto"/>
                    </w:rPr>
                  </w:pPr>
                </w:p>
              </w:tc>
              <w:tc>
                <w:tcPr>
                  <w:tcW w:w="1344" w:type="pct"/>
                  <w:gridSpan w:val="2"/>
                  <w:vAlign w:val="center"/>
                </w:tcPr>
                <w:p>
                  <w:pPr>
                    <w:pStyle w:val="11"/>
                    <w:ind w:firstLine="0" w:firstLineChars="0"/>
                    <w:jc w:val="center"/>
                    <w:rPr>
                      <w:color w:val="auto"/>
                    </w:rPr>
                  </w:pPr>
                  <w:r>
                    <w:rPr>
                      <w:rFonts w:hint="eastAsia"/>
                      <w:color w:val="auto"/>
                    </w:rPr>
                    <w:t>环境风险</w:t>
                  </w:r>
                </w:p>
              </w:tc>
              <w:tc>
                <w:tcPr>
                  <w:tcW w:w="2211" w:type="pct"/>
                  <w:vAlign w:val="center"/>
                </w:tcPr>
                <w:p>
                  <w:pPr>
                    <w:ind w:firstLine="0" w:firstLineChars="0"/>
                    <w:jc w:val="center"/>
                    <w:rPr>
                      <w:color w:val="auto"/>
                    </w:rPr>
                  </w:pPr>
                  <w:r>
                    <w:rPr>
                      <w:color w:val="auto"/>
                    </w:rPr>
                    <w:t>在沥青储罐</w:t>
                  </w:r>
                  <w:r>
                    <w:rPr>
                      <w:rFonts w:hint="eastAsia"/>
                      <w:color w:val="auto"/>
                    </w:rPr>
                    <w:t>、导热油炉、柴油及重油</w:t>
                  </w:r>
                  <w:r>
                    <w:rPr>
                      <w:color w:val="auto"/>
                    </w:rPr>
                    <w:t>四周建设围堰，在导热油炉旁设置事故油池，以便导热油泄漏时将导热油引流至事故应急池内</w:t>
                  </w:r>
                  <w:r>
                    <w:rPr>
                      <w:rFonts w:hint="eastAsia"/>
                      <w:color w:val="auto"/>
                    </w:rPr>
                    <w:t>，事故应急池容积为20m</w:t>
                  </w:r>
                  <w:r>
                    <w:rPr>
                      <w:rFonts w:hint="eastAsia"/>
                      <w:color w:val="auto"/>
                      <w:vertAlign w:val="superscript"/>
                    </w:rPr>
                    <w:t>3</w:t>
                  </w:r>
                  <w:r>
                    <w:rPr>
                      <w:rFonts w:hint="eastAsia"/>
                      <w:color w:val="auto"/>
                    </w:rPr>
                    <w:t>，</w:t>
                  </w:r>
                  <w:r>
                    <w:rPr>
                      <w:color w:val="auto"/>
                    </w:rPr>
                    <w:t>围堰底部、内壁均采用防渗硬化</w:t>
                  </w:r>
                  <w:r>
                    <w:rPr>
                      <w:rFonts w:hint="eastAsia"/>
                      <w:color w:val="auto"/>
                    </w:rPr>
                    <w:t>，设置消防事故池一座，容积700</w:t>
                  </w:r>
                  <w:r>
                    <w:rPr>
                      <w:rFonts w:hint="eastAsia"/>
                      <w:color w:val="auto"/>
                      <w:spacing w:val="1"/>
                    </w:rPr>
                    <w:t>m</w:t>
                  </w:r>
                  <w:r>
                    <w:rPr>
                      <w:rFonts w:hint="eastAsia"/>
                      <w:color w:val="auto"/>
                      <w:spacing w:val="1"/>
                      <w:vertAlign w:val="superscript"/>
                    </w:rPr>
                    <w:t>3</w:t>
                  </w:r>
                </w:p>
              </w:tc>
              <w:tc>
                <w:tcPr>
                  <w:tcW w:w="481" w:type="pct"/>
                  <w:vAlign w:val="center"/>
                </w:tcPr>
                <w:p>
                  <w:pPr>
                    <w:ind w:firstLine="0" w:firstLineChars="0"/>
                    <w:jc w:val="center"/>
                    <w:rPr>
                      <w:color w:val="auto"/>
                    </w:rPr>
                  </w:pPr>
                  <w:r>
                    <w:rPr>
                      <w:rFonts w:hint="eastAsia"/>
                      <w:color w:val="auto"/>
                    </w:rPr>
                    <w:t>—</w:t>
                  </w:r>
                </w:p>
              </w:tc>
              <w:tc>
                <w:tcPr>
                  <w:tcW w:w="616" w:type="pct"/>
                  <w:vAlign w:val="center"/>
                </w:tcPr>
                <w:p>
                  <w:pPr>
                    <w:ind w:firstLine="0" w:firstLineChars="0"/>
                    <w:jc w:val="center"/>
                    <w:rPr>
                      <w:color w:val="auto"/>
                    </w:rPr>
                  </w:pPr>
                  <w:r>
                    <w:rPr>
                      <w:rFonts w:hint="eastAsia"/>
                      <w:color w:val="auto"/>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3" w:type="pct"/>
                  <w:gridSpan w:val="5"/>
                  <w:vAlign w:val="center"/>
                </w:tcPr>
                <w:p>
                  <w:pPr>
                    <w:ind w:firstLine="0" w:firstLineChars="0"/>
                    <w:jc w:val="center"/>
                    <w:rPr>
                      <w:color w:val="auto"/>
                    </w:rPr>
                  </w:pPr>
                  <w:r>
                    <w:rPr>
                      <w:color w:val="auto"/>
                    </w:rPr>
                    <w:t>合计</w:t>
                  </w:r>
                </w:p>
              </w:tc>
              <w:tc>
                <w:tcPr>
                  <w:tcW w:w="616" w:type="pct"/>
                  <w:vAlign w:val="center"/>
                </w:tcPr>
                <w:p>
                  <w:pPr>
                    <w:ind w:firstLine="0" w:firstLineChars="0"/>
                    <w:jc w:val="center"/>
                    <w:rPr>
                      <w:color w:val="auto"/>
                    </w:rPr>
                  </w:pPr>
                  <w:r>
                    <w:rPr>
                      <w:rFonts w:hint="eastAsia"/>
                      <w:color w:val="auto"/>
                    </w:rPr>
                    <w:t>237.2</w:t>
                  </w:r>
                </w:p>
              </w:tc>
            </w:tr>
          </w:tbl>
          <w:p>
            <w:pPr>
              <w:pStyle w:val="22"/>
              <w:ind w:firstLine="0" w:firstLineChars="0"/>
              <w:rPr>
                <w:color w:val="auto"/>
              </w:rPr>
            </w:pPr>
          </w:p>
          <w:p>
            <w:pPr>
              <w:adjustRightInd w:val="0"/>
              <w:snapToGrid w:val="0"/>
              <w:spacing w:before="120" w:beforeLines="50"/>
              <w:ind w:firstLine="0" w:firstLineChars="0"/>
              <w:rPr>
                <w:color w:val="auto"/>
              </w:rPr>
            </w:pPr>
          </w:p>
        </w:tc>
      </w:tr>
    </w:tbl>
    <w:p>
      <w:pPr>
        <w:pStyle w:val="2"/>
        <w:ind w:firstLine="420"/>
        <w:rPr>
          <w:color w:val="auto"/>
        </w:rPr>
        <w:sectPr>
          <w:pgSz w:w="11907" w:h="16840"/>
          <w:pgMar w:top="1440" w:right="1800" w:bottom="1440" w:left="1800" w:header="851" w:footer="851" w:gutter="0"/>
          <w:pgBorders>
            <w:top w:val="none" w:sz="0" w:space="0"/>
            <w:left w:val="none" w:sz="0" w:space="0"/>
            <w:bottom w:val="none" w:sz="0" w:space="0"/>
            <w:right w:val="none" w:sz="0" w:space="0"/>
          </w:pgBorders>
          <w:cols w:space="720" w:num="1"/>
          <w:docGrid w:linePitch="312" w:charSpace="0"/>
        </w:sectPr>
      </w:pPr>
    </w:p>
    <w:p>
      <w:pPr>
        <w:pStyle w:val="3"/>
        <w:rPr>
          <w:rFonts w:hint="eastAsia" w:ascii="黑体" w:hAnsi="黑体" w:eastAsia="黑体"/>
          <w:snapToGrid w:val="0"/>
          <w:color w:val="auto"/>
          <w:sz w:val="30"/>
        </w:rPr>
      </w:pPr>
      <w:r>
        <w:rPr>
          <w:rFonts w:hint="eastAsia" w:ascii="黑体" w:hAnsi="黑体" w:eastAsia="黑体"/>
          <w:snapToGrid w:val="0"/>
          <w:color w:val="auto"/>
          <w:sz w:val="30"/>
        </w:rPr>
        <w:t>六、结论</w:t>
      </w:r>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pPr>
              <w:pStyle w:val="4"/>
              <w:rPr>
                <w:color w:val="auto"/>
              </w:rPr>
            </w:pPr>
            <w:r>
              <w:rPr>
                <w:rFonts w:hint="eastAsia"/>
                <w:color w:val="auto"/>
              </w:rPr>
              <w:t>1结论</w:t>
            </w:r>
          </w:p>
          <w:p>
            <w:pPr>
              <w:ind w:firstLine="480"/>
              <w:rPr>
                <w:color w:val="auto"/>
              </w:rPr>
            </w:pPr>
            <w:r>
              <w:rPr>
                <w:rFonts w:hint="eastAsia"/>
                <w:color w:val="auto"/>
              </w:rPr>
              <w:t>项目符合规划要求，环保措施得当，污染物排放满足排放标准要求，项目产生的废气、废水、噪声、固体废物等对周围环境产生的影响较小，项目的实施不会改变项目所在地的环境功能区划。因此，从环保角度项目的建设是可行的。</w:t>
            </w: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tc>
      </w:tr>
    </w:tbl>
    <w:p>
      <w:pPr>
        <w:ind w:firstLine="0" w:firstLineChars="0"/>
        <w:rPr>
          <w:color w:val="auto"/>
        </w:rPr>
        <w:sectPr>
          <w:footerReference r:id="rId11"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9"/>
        <w:adjustRightInd w:val="0"/>
        <w:snapToGrid w:val="0"/>
        <w:spacing w:beforeAutospacing="0" w:afterAutospacing="0"/>
        <w:ind w:firstLine="640"/>
        <w:outlineLvl w:val="0"/>
        <w:rPr>
          <w:rFonts w:hint="eastAsia" w:ascii="黑体" w:hAnsi="黑体" w:eastAsia="黑体"/>
          <w:snapToGrid w:val="0"/>
          <w:color w:val="auto"/>
          <w:sz w:val="32"/>
          <w:szCs w:val="32"/>
        </w:rPr>
      </w:pPr>
      <w:r>
        <w:rPr>
          <w:rFonts w:hint="eastAsia" w:ascii="黑体" w:hAnsi="黑体" w:eastAsia="黑体"/>
          <w:snapToGrid w:val="0"/>
          <w:color w:val="auto"/>
          <w:sz w:val="32"/>
          <w:szCs w:val="32"/>
        </w:rPr>
        <w:t>附表</w:t>
      </w:r>
    </w:p>
    <w:p>
      <w:pPr>
        <w:pStyle w:val="29"/>
        <w:widowControl/>
        <w:adjustRightInd w:val="0"/>
        <w:snapToGrid w:val="0"/>
        <w:spacing w:beforeAutospacing="0" w:afterAutospacing="0" w:line="240" w:lineRule="auto"/>
        <w:ind w:firstLine="760"/>
        <w:jc w:val="center"/>
        <w:outlineLvl w:val="0"/>
        <w:rPr>
          <w:rFonts w:hint="eastAsia" w:ascii="方正小标宋_GBK" w:hAnsi="黑体" w:eastAsia="方正小标宋_GBK"/>
          <w:snapToGrid w:val="0"/>
          <w:color w:val="auto"/>
          <w:sz w:val="38"/>
          <w:szCs w:val="38"/>
        </w:rPr>
      </w:pPr>
      <w:r>
        <w:rPr>
          <w:rFonts w:hint="eastAsia" w:ascii="方正小标宋_GBK" w:hAnsi="黑体" w:eastAsia="方正小标宋_GBK"/>
          <w:snapToGrid w:val="0"/>
          <w:color w:val="auto"/>
          <w:sz w:val="38"/>
          <w:szCs w:val="38"/>
        </w:rPr>
        <w:t xml:space="preserve"> 建设项目污染物排放量汇总表</w:t>
      </w:r>
    </w:p>
    <w:tbl>
      <w:tblPr>
        <w:tblStyle w:val="31"/>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10"/>
        <w:gridCol w:w="1795"/>
        <w:gridCol w:w="1701"/>
        <w:gridCol w:w="1276"/>
        <w:gridCol w:w="1701"/>
        <w:gridCol w:w="1559"/>
        <w:gridCol w:w="1761"/>
        <w:gridCol w:w="1835"/>
        <w:gridCol w:w="95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210" w:type="dxa"/>
            <w:tcBorders>
              <w:tl2br w:val="single" w:color="auto" w:sz="4" w:space="0"/>
            </w:tcBorders>
            <w:tcMar>
              <w:left w:w="28" w:type="dxa"/>
              <w:right w:w="28" w:type="dxa"/>
            </w:tcMar>
            <w:vAlign w:val="center"/>
          </w:tcPr>
          <w:p>
            <w:pPr>
              <w:pStyle w:val="54"/>
              <w:spacing w:line="360" w:lineRule="auto"/>
              <w:jc w:val="right"/>
              <w:rPr>
                <w:rFonts w:eastAsia="黑体"/>
                <w:snapToGrid w:val="0"/>
                <w:color w:val="auto"/>
                <w:spacing w:val="-6"/>
                <w:kern w:val="21"/>
              </w:rPr>
            </w:pPr>
            <w:r>
              <w:rPr>
                <w:rFonts w:eastAsia="黑体"/>
                <w:snapToGrid w:val="0"/>
                <w:color w:val="auto"/>
                <w:spacing w:val="-6"/>
                <w:kern w:val="21"/>
              </w:rPr>
              <w:t>项目</w:t>
            </w:r>
          </w:p>
          <w:p>
            <w:pPr>
              <w:pStyle w:val="54"/>
              <w:spacing w:line="360" w:lineRule="auto"/>
              <w:jc w:val="left"/>
              <w:rPr>
                <w:rFonts w:eastAsia="黑体"/>
                <w:snapToGrid w:val="0"/>
                <w:color w:val="auto"/>
                <w:spacing w:val="-6"/>
                <w:kern w:val="21"/>
              </w:rPr>
            </w:pPr>
            <w:r>
              <w:rPr>
                <w:rFonts w:eastAsia="黑体"/>
                <w:snapToGrid w:val="0"/>
                <w:color w:val="auto"/>
                <w:spacing w:val="-6"/>
                <w:kern w:val="21"/>
              </w:rPr>
              <w:t>分类</w:t>
            </w:r>
          </w:p>
        </w:tc>
        <w:tc>
          <w:tcPr>
            <w:tcW w:w="1795" w:type="dxa"/>
            <w:tcMar>
              <w:left w:w="28" w:type="dxa"/>
              <w:right w:w="28" w:type="dxa"/>
            </w:tcMar>
            <w:vAlign w:val="center"/>
          </w:tcPr>
          <w:p>
            <w:pPr>
              <w:pStyle w:val="54"/>
              <w:spacing w:line="360" w:lineRule="auto"/>
              <w:rPr>
                <w:rFonts w:eastAsia="黑体"/>
                <w:snapToGrid w:val="0"/>
                <w:color w:val="auto"/>
                <w:spacing w:val="-6"/>
                <w:kern w:val="21"/>
              </w:rPr>
            </w:pPr>
            <w:r>
              <w:rPr>
                <w:rFonts w:eastAsia="黑体"/>
                <w:snapToGrid w:val="0"/>
                <w:color w:val="auto"/>
                <w:spacing w:val="-6"/>
                <w:kern w:val="21"/>
              </w:rPr>
              <w:t>污染物名称</w:t>
            </w:r>
          </w:p>
        </w:tc>
        <w:tc>
          <w:tcPr>
            <w:tcW w:w="1701" w:type="dxa"/>
            <w:tcMar>
              <w:left w:w="28" w:type="dxa"/>
              <w:right w:w="28" w:type="dxa"/>
            </w:tcMar>
            <w:vAlign w:val="center"/>
          </w:tcPr>
          <w:p>
            <w:pPr>
              <w:pStyle w:val="54"/>
              <w:spacing w:line="360" w:lineRule="auto"/>
              <w:rPr>
                <w:rFonts w:eastAsia="黑体"/>
                <w:snapToGrid w:val="0"/>
                <w:color w:val="auto"/>
                <w:spacing w:val="-6"/>
                <w:kern w:val="21"/>
              </w:rPr>
            </w:pPr>
            <w:r>
              <w:rPr>
                <w:rFonts w:eastAsia="黑体"/>
                <w:snapToGrid w:val="0"/>
                <w:color w:val="auto"/>
                <w:spacing w:val="-6"/>
                <w:kern w:val="21"/>
              </w:rPr>
              <w:t>现有工程</w:t>
            </w:r>
          </w:p>
          <w:p>
            <w:pPr>
              <w:pStyle w:val="54"/>
              <w:spacing w:line="360" w:lineRule="auto"/>
              <w:rPr>
                <w:rFonts w:eastAsia="黑体"/>
                <w:snapToGrid w:val="0"/>
                <w:color w:val="auto"/>
                <w:spacing w:val="-6"/>
                <w:kern w:val="21"/>
              </w:rPr>
            </w:pPr>
            <w:r>
              <w:rPr>
                <w:rFonts w:eastAsia="黑体"/>
                <w:snapToGrid w:val="0"/>
                <w:color w:val="auto"/>
                <w:spacing w:val="-6"/>
                <w:kern w:val="21"/>
              </w:rPr>
              <w:t>排放量（固体废物产生量）</w:t>
            </w:r>
            <w:r>
              <w:rPr>
                <w:rFonts w:eastAsia="黑体"/>
                <w:snapToGrid w:val="0"/>
                <w:color w:val="auto"/>
                <w:spacing w:val="-6"/>
                <w:kern w:val="21"/>
              </w:rPr>
              <w:fldChar w:fldCharType="begin"/>
            </w:r>
            <w:r>
              <w:rPr>
                <w:rFonts w:eastAsia="黑体"/>
                <w:snapToGrid w:val="0"/>
                <w:color w:val="auto"/>
                <w:spacing w:val="-6"/>
                <w:kern w:val="21"/>
              </w:rPr>
              <w:instrText xml:space="preserve"> = 1 \* GB3 \* MERGEFORMAT </w:instrText>
            </w:r>
            <w:r>
              <w:rPr>
                <w:rFonts w:eastAsia="黑体"/>
                <w:snapToGrid w:val="0"/>
                <w:color w:val="auto"/>
                <w:spacing w:val="-6"/>
                <w:kern w:val="21"/>
              </w:rPr>
              <w:fldChar w:fldCharType="separate"/>
            </w:r>
            <w:r>
              <w:rPr>
                <w:rFonts w:eastAsia="黑体"/>
                <w:color w:val="auto"/>
                <w:kern w:val="2"/>
              </w:rPr>
              <w:t>①</w:t>
            </w:r>
            <w:r>
              <w:rPr>
                <w:rFonts w:eastAsia="黑体"/>
                <w:snapToGrid w:val="0"/>
                <w:color w:val="auto"/>
                <w:spacing w:val="-6"/>
                <w:kern w:val="21"/>
              </w:rPr>
              <w:fldChar w:fldCharType="end"/>
            </w:r>
          </w:p>
        </w:tc>
        <w:tc>
          <w:tcPr>
            <w:tcW w:w="1276" w:type="dxa"/>
            <w:tcMar>
              <w:left w:w="28" w:type="dxa"/>
              <w:right w:w="28" w:type="dxa"/>
            </w:tcMar>
            <w:vAlign w:val="center"/>
          </w:tcPr>
          <w:p>
            <w:pPr>
              <w:pStyle w:val="54"/>
              <w:spacing w:line="360" w:lineRule="auto"/>
              <w:rPr>
                <w:rFonts w:eastAsia="黑体"/>
                <w:snapToGrid w:val="0"/>
                <w:color w:val="auto"/>
                <w:spacing w:val="-6"/>
                <w:kern w:val="21"/>
              </w:rPr>
            </w:pPr>
            <w:r>
              <w:rPr>
                <w:rFonts w:eastAsia="黑体"/>
                <w:snapToGrid w:val="0"/>
                <w:color w:val="auto"/>
                <w:spacing w:val="-6"/>
                <w:kern w:val="21"/>
              </w:rPr>
              <w:t>现有工程</w:t>
            </w:r>
          </w:p>
          <w:p>
            <w:pPr>
              <w:pStyle w:val="54"/>
              <w:spacing w:line="360" w:lineRule="auto"/>
              <w:rPr>
                <w:rFonts w:eastAsia="黑体"/>
                <w:snapToGrid w:val="0"/>
                <w:color w:val="auto"/>
                <w:spacing w:val="-6"/>
                <w:kern w:val="21"/>
              </w:rPr>
            </w:pPr>
            <w:r>
              <w:rPr>
                <w:rFonts w:eastAsia="黑体"/>
                <w:snapToGrid w:val="0"/>
                <w:color w:val="auto"/>
                <w:spacing w:val="-6"/>
                <w:kern w:val="21"/>
              </w:rPr>
              <w:t>许可排放量</w:t>
            </w:r>
          </w:p>
          <w:p>
            <w:pPr>
              <w:pStyle w:val="54"/>
              <w:spacing w:line="360" w:lineRule="auto"/>
              <w:rPr>
                <w:rFonts w:eastAsia="黑体"/>
                <w:snapToGrid w:val="0"/>
                <w:color w:val="auto"/>
                <w:spacing w:val="-6"/>
                <w:kern w:val="21"/>
              </w:rPr>
            </w:pPr>
            <w:r>
              <w:rPr>
                <w:rFonts w:eastAsia="黑体"/>
                <w:snapToGrid w:val="0"/>
                <w:color w:val="auto"/>
                <w:spacing w:val="-6"/>
                <w:kern w:val="21"/>
              </w:rPr>
              <w:fldChar w:fldCharType="begin"/>
            </w:r>
            <w:r>
              <w:rPr>
                <w:rFonts w:eastAsia="黑体"/>
                <w:snapToGrid w:val="0"/>
                <w:color w:val="auto"/>
                <w:spacing w:val="-6"/>
                <w:kern w:val="21"/>
              </w:rPr>
              <w:instrText xml:space="preserve"> = 2 \* GB3 \* MERGEFORMAT </w:instrText>
            </w:r>
            <w:r>
              <w:rPr>
                <w:rFonts w:eastAsia="黑体"/>
                <w:snapToGrid w:val="0"/>
                <w:color w:val="auto"/>
                <w:spacing w:val="-6"/>
                <w:kern w:val="21"/>
              </w:rPr>
              <w:fldChar w:fldCharType="separate"/>
            </w:r>
            <w:r>
              <w:rPr>
                <w:rFonts w:eastAsia="黑体"/>
                <w:snapToGrid w:val="0"/>
                <w:color w:val="auto"/>
                <w:spacing w:val="-6"/>
                <w:kern w:val="21"/>
              </w:rPr>
              <w:t>②</w:t>
            </w:r>
            <w:r>
              <w:rPr>
                <w:rFonts w:eastAsia="黑体"/>
                <w:snapToGrid w:val="0"/>
                <w:color w:val="auto"/>
                <w:spacing w:val="-6"/>
                <w:kern w:val="21"/>
              </w:rPr>
              <w:fldChar w:fldCharType="end"/>
            </w:r>
          </w:p>
        </w:tc>
        <w:tc>
          <w:tcPr>
            <w:tcW w:w="1701" w:type="dxa"/>
            <w:tcMar>
              <w:left w:w="28" w:type="dxa"/>
              <w:right w:w="28" w:type="dxa"/>
            </w:tcMar>
            <w:vAlign w:val="center"/>
          </w:tcPr>
          <w:p>
            <w:pPr>
              <w:pStyle w:val="54"/>
              <w:spacing w:line="360" w:lineRule="auto"/>
              <w:rPr>
                <w:rFonts w:eastAsia="黑体"/>
                <w:snapToGrid w:val="0"/>
                <w:color w:val="auto"/>
                <w:spacing w:val="-6"/>
                <w:kern w:val="21"/>
              </w:rPr>
            </w:pPr>
            <w:r>
              <w:rPr>
                <w:rFonts w:eastAsia="黑体"/>
                <w:snapToGrid w:val="0"/>
                <w:color w:val="auto"/>
                <w:spacing w:val="-6"/>
                <w:kern w:val="21"/>
              </w:rPr>
              <w:t>在建工程</w:t>
            </w:r>
          </w:p>
          <w:p>
            <w:pPr>
              <w:pStyle w:val="54"/>
              <w:spacing w:line="360" w:lineRule="auto"/>
              <w:rPr>
                <w:rFonts w:eastAsia="黑体"/>
                <w:snapToGrid w:val="0"/>
                <w:color w:val="auto"/>
                <w:spacing w:val="-6"/>
                <w:kern w:val="21"/>
              </w:rPr>
            </w:pPr>
            <w:r>
              <w:rPr>
                <w:rFonts w:eastAsia="黑体"/>
                <w:snapToGrid w:val="0"/>
                <w:color w:val="auto"/>
                <w:spacing w:val="-6"/>
                <w:kern w:val="21"/>
              </w:rPr>
              <w:t>排放量（固体废物产生量）</w:t>
            </w:r>
            <w:r>
              <w:rPr>
                <w:rFonts w:eastAsia="黑体"/>
                <w:snapToGrid w:val="0"/>
                <w:color w:val="auto"/>
                <w:spacing w:val="-6"/>
                <w:kern w:val="21"/>
              </w:rPr>
              <w:fldChar w:fldCharType="begin"/>
            </w:r>
            <w:r>
              <w:rPr>
                <w:rFonts w:eastAsia="黑体"/>
                <w:snapToGrid w:val="0"/>
                <w:color w:val="auto"/>
                <w:spacing w:val="-6"/>
                <w:kern w:val="21"/>
              </w:rPr>
              <w:instrText xml:space="preserve"> = 3 \* GB3 \* MERGEFORMAT </w:instrText>
            </w:r>
            <w:r>
              <w:rPr>
                <w:rFonts w:eastAsia="黑体"/>
                <w:snapToGrid w:val="0"/>
                <w:color w:val="auto"/>
                <w:spacing w:val="-6"/>
                <w:kern w:val="21"/>
              </w:rPr>
              <w:fldChar w:fldCharType="separate"/>
            </w:r>
            <w:r>
              <w:rPr>
                <w:rFonts w:eastAsia="黑体"/>
                <w:color w:val="auto"/>
                <w:kern w:val="2"/>
              </w:rPr>
              <w:t>③</w:t>
            </w:r>
            <w:r>
              <w:rPr>
                <w:rFonts w:eastAsia="黑体"/>
                <w:snapToGrid w:val="0"/>
                <w:color w:val="auto"/>
                <w:spacing w:val="-6"/>
                <w:kern w:val="21"/>
              </w:rPr>
              <w:fldChar w:fldCharType="end"/>
            </w:r>
          </w:p>
        </w:tc>
        <w:tc>
          <w:tcPr>
            <w:tcW w:w="1559" w:type="dxa"/>
            <w:tcMar>
              <w:left w:w="28" w:type="dxa"/>
              <w:right w:w="28" w:type="dxa"/>
            </w:tcMar>
            <w:vAlign w:val="center"/>
          </w:tcPr>
          <w:p>
            <w:pPr>
              <w:pStyle w:val="54"/>
              <w:spacing w:line="360" w:lineRule="auto"/>
              <w:rPr>
                <w:rFonts w:eastAsia="黑体"/>
                <w:snapToGrid w:val="0"/>
                <w:color w:val="auto"/>
                <w:spacing w:val="-6"/>
                <w:kern w:val="21"/>
              </w:rPr>
            </w:pPr>
            <w:r>
              <w:rPr>
                <w:rFonts w:eastAsia="黑体"/>
                <w:snapToGrid w:val="0"/>
                <w:color w:val="auto"/>
                <w:spacing w:val="-6"/>
                <w:kern w:val="21"/>
              </w:rPr>
              <w:t>本项目</w:t>
            </w:r>
          </w:p>
          <w:p>
            <w:pPr>
              <w:pStyle w:val="54"/>
              <w:spacing w:line="360" w:lineRule="auto"/>
              <w:rPr>
                <w:rFonts w:eastAsia="黑体"/>
                <w:snapToGrid w:val="0"/>
                <w:color w:val="auto"/>
                <w:spacing w:val="-6"/>
                <w:kern w:val="21"/>
              </w:rPr>
            </w:pPr>
            <w:r>
              <w:rPr>
                <w:rFonts w:eastAsia="黑体"/>
                <w:snapToGrid w:val="0"/>
                <w:color w:val="auto"/>
                <w:spacing w:val="-6"/>
                <w:kern w:val="21"/>
              </w:rPr>
              <w:t>排放量（固体废物产生量）</w:t>
            </w:r>
            <w:r>
              <w:rPr>
                <w:rFonts w:eastAsia="黑体"/>
                <w:snapToGrid w:val="0"/>
                <w:color w:val="auto"/>
                <w:spacing w:val="-6"/>
                <w:kern w:val="21"/>
              </w:rPr>
              <w:fldChar w:fldCharType="begin"/>
            </w:r>
            <w:r>
              <w:rPr>
                <w:rFonts w:eastAsia="黑体"/>
                <w:snapToGrid w:val="0"/>
                <w:color w:val="auto"/>
                <w:spacing w:val="-6"/>
                <w:kern w:val="21"/>
              </w:rPr>
              <w:instrText xml:space="preserve"> = 4 \* GB3 \* MERGEFORMAT </w:instrText>
            </w:r>
            <w:r>
              <w:rPr>
                <w:rFonts w:eastAsia="黑体"/>
                <w:snapToGrid w:val="0"/>
                <w:color w:val="auto"/>
                <w:spacing w:val="-6"/>
                <w:kern w:val="21"/>
              </w:rPr>
              <w:fldChar w:fldCharType="separate"/>
            </w:r>
            <w:r>
              <w:rPr>
                <w:rFonts w:eastAsia="黑体"/>
                <w:color w:val="auto"/>
                <w:kern w:val="2"/>
              </w:rPr>
              <w:t>④</w:t>
            </w:r>
            <w:r>
              <w:rPr>
                <w:rFonts w:eastAsia="黑体"/>
                <w:snapToGrid w:val="0"/>
                <w:color w:val="auto"/>
                <w:spacing w:val="-6"/>
                <w:kern w:val="21"/>
              </w:rPr>
              <w:fldChar w:fldCharType="end"/>
            </w:r>
          </w:p>
        </w:tc>
        <w:tc>
          <w:tcPr>
            <w:tcW w:w="1761" w:type="dxa"/>
            <w:tcMar>
              <w:left w:w="28" w:type="dxa"/>
              <w:right w:w="28" w:type="dxa"/>
            </w:tcMar>
            <w:vAlign w:val="center"/>
          </w:tcPr>
          <w:p>
            <w:pPr>
              <w:pStyle w:val="54"/>
              <w:spacing w:line="360" w:lineRule="auto"/>
              <w:rPr>
                <w:rFonts w:eastAsia="黑体"/>
                <w:snapToGrid w:val="0"/>
                <w:color w:val="auto"/>
                <w:spacing w:val="-16"/>
                <w:kern w:val="21"/>
              </w:rPr>
            </w:pPr>
            <w:r>
              <w:rPr>
                <w:rFonts w:eastAsia="黑体"/>
                <w:snapToGrid w:val="0"/>
                <w:color w:val="auto"/>
                <w:spacing w:val="-16"/>
                <w:kern w:val="21"/>
              </w:rPr>
              <w:t>以新带老削减量</w:t>
            </w:r>
          </w:p>
          <w:p>
            <w:pPr>
              <w:pStyle w:val="54"/>
              <w:spacing w:line="360" w:lineRule="auto"/>
              <w:rPr>
                <w:rFonts w:eastAsia="黑体"/>
                <w:snapToGrid w:val="0"/>
                <w:color w:val="auto"/>
                <w:spacing w:val="-16"/>
                <w:kern w:val="21"/>
              </w:rPr>
            </w:pPr>
            <w:r>
              <w:rPr>
                <w:rFonts w:eastAsia="黑体"/>
                <w:snapToGrid w:val="0"/>
                <w:color w:val="auto"/>
                <w:spacing w:val="-16"/>
                <w:kern w:val="21"/>
              </w:rPr>
              <w:t>（新建项目不填）</w:t>
            </w:r>
            <w:r>
              <w:rPr>
                <w:rFonts w:eastAsia="黑体"/>
                <w:snapToGrid w:val="0"/>
                <w:color w:val="auto"/>
                <w:spacing w:val="-16"/>
                <w:kern w:val="21"/>
              </w:rPr>
              <w:fldChar w:fldCharType="begin"/>
            </w:r>
            <w:r>
              <w:rPr>
                <w:rFonts w:eastAsia="黑体"/>
                <w:snapToGrid w:val="0"/>
                <w:color w:val="auto"/>
                <w:spacing w:val="-16"/>
                <w:kern w:val="21"/>
              </w:rPr>
              <w:instrText xml:space="preserve"> = 5 \* GB3 \* MERGEFORMAT </w:instrText>
            </w:r>
            <w:r>
              <w:rPr>
                <w:rFonts w:eastAsia="黑体"/>
                <w:snapToGrid w:val="0"/>
                <w:color w:val="auto"/>
                <w:spacing w:val="-16"/>
                <w:kern w:val="21"/>
              </w:rPr>
              <w:fldChar w:fldCharType="separate"/>
            </w:r>
            <w:r>
              <w:rPr>
                <w:rFonts w:eastAsia="黑体"/>
                <w:color w:val="auto"/>
                <w:kern w:val="2"/>
              </w:rPr>
              <w:t>⑤</w:t>
            </w:r>
            <w:r>
              <w:rPr>
                <w:rFonts w:eastAsia="黑体"/>
                <w:snapToGrid w:val="0"/>
                <w:color w:val="auto"/>
                <w:spacing w:val="-16"/>
                <w:kern w:val="21"/>
              </w:rPr>
              <w:fldChar w:fldCharType="end"/>
            </w:r>
          </w:p>
        </w:tc>
        <w:tc>
          <w:tcPr>
            <w:tcW w:w="1835" w:type="dxa"/>
            <w:tcMar>
              <w:left w:w="28" w:type="dxa"/>
              <w:right w:w="28" w:type="dxa"/>
            </w:tcMar>
            <w:vAlign w:val="center"/>
          </w:tcPr>
          <w:p>
            <w:pPr>
              <w:pStyle w:val="54"/>
              <w:spacing w:line="360" w:lineRule="auto"/>
              <w:rPr>
                <w:rFonts w:eastAsia="黑体"/>
                <w:snapToGrid w:val="0"/>
                <w:color w:val="auto"/>
                <w:spacing w:val="-16"/>
                <w:kern w:val="21"/>
              </w:rPr>
            </w:pPr>
            <w:r>
              <w:rPr>
                <w:rFonts w:eastAsia="黑体"/>
                <w:snapToGrid w:val="0"/>
                <w:color w:val="auto"/>
                <w:spacing w:val="-16"/>
                <w:kern w:val="21"/>
              </w:rPr>
              <w:t>本项目建成后</w:t>
            </w:r>
          </w:p>
          <w:p>
            <w:pPr>
              <w:pStyle w:val="54"/>
              <w:spacing w:line="360" w:lineRule="auto"/>
              <w:rPr>
                <w:rFonts w:eastAsia="黑体"/>
                <w:snapToGrid w:val="0"/>
                <w:color w:val="auto"/>
                <w:spacing w:val="-16"/>
                <w:kern w:val="21"/>
              </w:rPr>
            </w:pPr>
            <w:r>
              <w:rPr>
                <w:rFonts w:eastAsia="黑体"/>
                <w:snapToGrid w:val="0"/>
                <w:color w:val="auto"/>
                <w:spacing w:val="-16"/>
                <w:kern w:val="21"/>
              </w:rPr>
              <w:t>全厂排放量（固体废物产生量）</w:t>
            </w:r>
            <w:r>
              <w:rPr>
                <w:rFonts w:eastAsia="黑体"/>
                <w:snapToGrid w:val="0"/>
                <w:color w:val="auto"/>
                <w:spacing w:val="-16"/>
                <w:kern w:val="21"/>
              </w:rPr>
              <w:fldChar w:fldCharType="begin"/>
            </w:r>
            <w:r>
              <w:rPr>
                <w:rFonts w:eastAsia="黑体"/>
                <w:snapToGrid w:val="0"/>
                <w:color w:val="auto"/>
                <w:spacing w:val="-16"/>
                <w:kern w:val="21"/>
              </w:rPr>
              <w:instrText xml:space="preserve"> = 6 \* GB3 \* MERGEFORMAT </w:instrText>
            </w:r>
            <w:r>
              <w:rPr>
                <w:rFonts w:eastAsia="黑体"/>
                <w:snapToGrid w:val="0"/>
                <w:color w:val="auto"/>
                <w:spacing w:val="-16"/>
                <w:kern w:val="21"/>
              </w:rPr>
              <w:fldChar w:fldCharType="separate"/>
            </w:r>
            <w:r>
              <w:rPr>
                <w:rFonts w:eastAsia="黑体"/>
                <w:color w:val="auto"/>
                <w:kern w:val="2"/>
              </w:rPr>
              <w:t>⑥</w:t>
            </w:r>
            <w:r>
              <w:rPr>
                <w:rFonts w:eastAsia="黑体"/>
                <w:snapToGrid w:val="0"/>
                <w:color w:val="auto"/>
                <w:spacing w:val="-16"/>
                <w:kern w:val="21"/>
              </w:rPr>
              <w:fldChar w:fldCharType="end"/>
            </w:r>
          </w:p>
        </w:tc>
        <w:tc>
          <w:tcPr>
            <w:tcW w:w="950" w:type="dxa"/>
            <w:tcMar>
              <w:left w:w="28" w:type="dxa"/>
              <w:right w:w="28" w:type="dxa"/>
            </w:tcMar>
            <w:vAlign w:val="center"/>
          </w:tcPr>
          <w:p>
            <w:pPr>
              <w:pStyle w:val="54"/>
              <w:spacing w:line="360" w:lineRule="auto"/>
              <w:rPr>
                <w:rFonts w:eastAsia="黑体"/>
                <w:snapToGrid w:val="0"/>
                <w:color w:val="auto"/>
                <w:spacing w:val="-6"/>
                <w:kern w:val="21"/>
              </w:rPr>
            </w:pPr>
            <w:r>
              <w:rPr>
                <w:rFonts w:eastAsia="黑体"/>
                <w:snapToGrid w:val="0"/>
                <w:color w:val="auto"/>
                <w:spacing w:val="-6"/>
                <w:kern w:val="21"/>
              </w:rPr>
              <w:t>变化量</w:t>
            </w:r>
          </w:p>
          <w:p>
            <w:pPr>
              <w:pStyle w:val="54"/>
              <w:spacing w:line="360" w:lineRule="auto"/>
              <w:rPr>
                <w:rFonts w:eastAsia="黑体"/>
                <w:snapToGrid w:val="0"/>
                <w:color w:val="auto"/>
                <w:spacing w:val="-6"/>
                <w:kern w:val="21"/>
              </w:rPr>
            </w:pPr>
            <w:r>
              <w:rPr>
                <w:rFonts w:eastAsia="黑体"/>
                <w:snapToGrid w:val="0"/>
                <w:color w:val="auto"/>
                <w:spacing w:val="-6"/>
                <w:kern w:val="21"/>
              </w:rPr>
              <w:fldChar w:fldCharType="begin"/>
            </w:r>
            <w:r>
              <w:rPr>
                <w:rFonts w:eastAsia="黑体"/>
                <w:snapToGrid w:val="0"/>
                <w:color w:val="auto"/>
                <w:spacing w:val="-6"/>
                <w:kern w:val="21"/>
              </w:rPr>
              <w:instrText xml:space="preserve"> = 7 \* GB3 \* MERGEFORMAT </w:instrText>
            </w:r>
            <w:r>
              <w:rPr>
                <w:rFonts w:eastAsia="黑体"/>
                <w:snapToGrid w:val="0"/>
                <w:color w:val="auto"/>
                <w:spacing w:val="-6"/>
                <w:kern w:val="21"/>
              </w:rPr>
              <w:fldChar w:fldCharType="separate"/>
            </w:r>
            <w:r>
              <w:rPr>
                <w:rFonts w:eastAsia="黑体"/>
                <w:color w:val="auto"/>
                <w:kern w:val="2"/>
              </w:rPr>
              <w:t>⑦</w:t>
            </w:r>
            <w:r>
              <w:rPr>
                <w:rFonts w:eastAsia="黑体"/>
                <w:snapToGrid w:val="0"/>
                <w:color w:val="auto"/>
                <w:spacing w:val="-6"/>
                <w:kern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0" w:type="dxa"/>
            <w:vMerge w:val="restart"/>
            <w:vAlign w:val="center"/>
          </w:tcPr>
          <w:p>
            <w:pPr>
              <w:pStyle w:val="54"/>
              <w:spacing w:line="360" w:lineRule="auto"/>
              <w:rPr>
                <w:snapToGrid w:val="0"/>
                <w:color w:val="auto"/>
                <w:kern w:val="21"/>
              </w:rPr>
            </w:pPr>
            <w:r>
              <w:rPr>
                <w:rFonts w:hint="eastAsia"/>
                <w:snapToGrid w:val="0"/>
                <w:color w:val="auto"/>
                <w:kern w:val="21"/>
              </w:rPr>
              <w:t>废气</w:t>
            </w:r>
          </w:p>
        </w:tc>
        <w:tc>
          <w:tcPr>
            <w:tcW w:w="1795" w:type="dxa"/>
            <w:vAlign w:val="center"/>
          </w:tcPr>
          <w:p>
            <w:pPr>
              <w:adjustRightInd w:val="0"/>
              <w:snapToGrid w:val="0"/>
              <w:ind w:firstLine="0" w:firstLineChars="0"/>
              <w:jc w:val="center"/>
              <w:rPr>
                <w:snapToGrid w:val="0"/>
                <w:color w:val="auto"/>
                <w:kern w:val="21"/>
                <w:sz w:val="21"/>
                <w:szCs w:val="21"/>
              </w:rPr>
            </w:pPr>
            <w:r>
              <w:rPr>
                <w:rFonts w:hint="eastAsia"/>
                <w:color w:val="auto"/>
                <w:sz w:val="21"/>
                <w:szCs w:val="21"/>
              </w:rPr>
              <w:t>颗粒物</w:t>
            </w:r>
          </w:p>
        </w:tc>
        <w:tc>
          <w:tcPr>
            <w:tcW w:w="170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276"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70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559" w:type="dxa"/>
            <w:vAlign w:val="center"/>
          </w:tcPr>
          <w:p>
            <w:pPr>
              <w:adjustRightInd w:val="0"/>
              <w:snapToGrid w:val="0"/>
              <w:ind w:firstLine="0" w:firstLineChars="0"/>
              <w:jc w:val="center"/>
              <w:rPr>
                <w:snapToGrid w:val="0"/>
                <w:color w:val="auto"/>
                <w:kern w:val="21"/>
                <w:sz w:val="21"/>
                <w:szCs w:val="21"/>
              </w:rPr>
            </w:pPr>
            <w:r>
              <w:rPr>
                <w:rFonts w:hint="eastAsia"/>
                <w:color w:val="auto"/>
                <w:sz w:val="21"/>
                <w:szCs w:val="21"/>
              </w:rPr>
              <w:t>0.041</w:t>
            </w:r>
          </w:p>
        </w:tc>
        <w:tc>
          <w:tcPr>
            <w:tcW w:w="176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835" w:type="dxa"/>
            <w:vAlign w:val="center"/>
          </w:tcPr>
          <w:p>
            <w:pPr>
              <w:adjustRightInd w:val="0"/>
              <w:snapToGrid w:val="0"/>
              <w:ind w:firstLine="0" w:firstLineChars="0"/>
              <w:jc w:val="center"/>
              <w:rPr>
                <w:snapToGrid w:val="0"/>
                <w:color w:val="auto"/>
                <w:kern w:val="21"/>
                <w:sz w:val="21"/>
                <w:szCs w:val="21"/>
              </w:rPr>
            </w:pPr>
            <w:r>
              <w:rPr>
                <w:rFonts w:hint="eastAsia"/>
                <w:color w:val="auto"/>
                <w:sz w:val="21"/>
                <w:szCs w:val="21"/>
              </w:rPr>
              <w:t>0.041</w:t>
            </w:r>
          </w:p>
        </w:tc>
        <w:tc>
          <w:tcPr>
            <w:tcW w:w="950"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0" w:type="dxa"/>
            <w:vMerge w:val="continue"/>
            <w:vAlign w:val="center"/>
          </w:tcPr>
          <w:p>
            <w:pPr>
              <w:pStyle w:val="54"/>
              <w:spacing w:line="360" w:lineRule="auto"/>
              <w:rPr>
                <w:snapToGrid w:val="0"/>
                <w:color w:val="auto"/>
                <w:kern w:val="21"/>
              </w:rPr>
            </w:pPr>
          </w:p>
        </w:tc>
        <w:tc>
          <w:tcPr>
            <w:tcW w:w="1795" w:type="dxa"/>
            <w:vAlign w:val="center"/>
          </w:tcPr>
          <w:p>
            <w:pPr>
              <w:adjustRightInd w:val="0"/>
              <w:snapToGrid w:val="0"/>
              <w:ind w:firstLine="0" w:firstLineChars="0"/>
              <w:jc w:val="center"/>
              <w:rPr>
                <w:snapToGrid w:val="0"/>
                <w:color w:val="auto"/>
                <w:kern w:val="21"/>
                <w:sz w:val="21"/>
                <w:szCs w:val="21"/>
              </w:rPr>
            </w:pPr>
            <w:r>
              <w:rPr>
                <w:rFonts w:hint="eastAsia"/>
                <w:color w:val="auto"/>
                <w:sz w:val="21"/>
                <w:szCs w:val="21"/>
              </w:rPr>
              <w:t>SO</w:t>
            </w:r>
            <w:r>
              <w:rPr>
                <w:rFonts w:hint="eastAsia"/>
                <w:color w:val="auto"/>
                <w:sz w:val="21"/>
                <w:szCs w:val="21"/>
                <w:vertAlign w:val="subscript"/>
              </w:rPr>
              <w:t>2</w:t>
            </w:r>
          </w:p>
        </w:tc>
        <w:tc>
          <w:tcPr>
            <w:tcW w:w="170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276"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70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559" w:type="dxa"/>
            <w:vAlign w:val="center"/>
          </w:tcPr>
          <w:p>
            <w:pPr>
              <w:adjustRightInd w:val="0"/>
              <w:snapToGrid w:val="0"/>
              <w:ind w:firstLine="0" w:firstLineChars="0"/>
              <w:jc w:val="center"/>
              <w:rPr>
                <w:snapToGrid w:val="0"/>
                <w:color w:val="auto"/>
                <w:kern w:val="21"/>
                <w:sz w:val="21"/>
                <w:szCs w:val="21"/>
              </w:rPr>
            </w:pPr>
            <w:r>
              <w:rPr>
                <w:rFonts w:hint="eastAsia"/>
                <w:color w:val="auto"/>
                <w:sz w:val="21"/>
                <w:szCs w:val="21"/>
              </w:rPr>
              <w:t>0.57</w:t>
            </w:r>
          </w:p>
        </w:tc>
        <w:tc>
          <w:tcPr>
            <w:tcW w:w="176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835" w:type="dxa"/>
            <w:vAlign w:val="center"/>
          </w:tcPr>
          <w:p>
            <w:pPr>
              <w:adjustRightInd w:val="0"/>
              <w:snapToGrid w:val="0"/>
              <w:ind w:firstLine="0" w:firstLineChars="0"/>
              <w:jc w:val="center"/>
              <w:rPr>
                <w:snapToGrid w:val="0"/>
                <w:color w:val="auto"/>
                <w:kern w:val="21"/>
                <w:sz w:val="21"/>
                <w:szCs w:val="21"/>
              </w:rPr>
            </w:pPr>
            <w:r>
              <w:rPr>
                <w:rFonts w:hint="eastAsia"/>
                <w:color w:val="auto"/>
                <w:sz w:val="21"/>
                <w:szCs w:val="21"/>
              </w:rPr>
              <w:t>0.57</w:t>
            </w:r>
          </w:p>
        </w:tc>
        <w:tc>
          <w:tcPr>
            <w:tcW w:w="950"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0" w:type="dxa"/>
            <w:vMerge w:val="continue"/>
            <w:vAlign w:val="center"/>
          </w:tcPr>
          <w:p>
            <w:pPr>
              <w:pStyle w:val="54"/>
              <w:spacing w:line="360" w:lineRule="auto"/>
              <w:rPr>
                <w:snapToGrid w:val="0"/>
                <w:color w:val="auto"/>
                <w:kern w:val="21"/>
              </w:rPr>
            </w:pPr>
          </w:p>
        </w:tc>
        <w:tc>
          <w:tcPr>
            <w:tcW w:w="1795" w:type="dxa"/>
            <w:vAlign w:val="center"/>
          </w:tcPr>
          <w:p>
            <w:pPr>
              <w:adjustRightInd w:val="0"/>
              <w:snapToGrid w:val="0"/>
              <w:ind w:firstLine="0" w:firstLineChars="0"/>
              <w:jc w:val="center"/>
              <w:rPr>
                <w:color w:val="auto"/>
                <w:sz w:val="21"/>
                <w:szCs w:val="21"/>
              </w:rPr>
            </w:pPr>
            <w:r>
              <w:rPr>
                <w:rFonts w:hint="eastAsia"/>
                <w:color w:val="auto"/>
                <w:sz w:val="21"/>
                <w:szCs w:val="21"/>
              </w:rPr>
              <w:t>NO</w:t>
            </w:r>
            <w:r>
              <w:rPr>
                <w:rFonts w:hint="eastAsia"/>
                <w:color w:val="auto"/>
                <w:sz w:val="21"/>
                <w:szCs w:val="21"/>
                <w:vertAlign w:val="subscript"/>
              </w:rPr>
              <w:t>x</w:t>
            </w:r>
          </w:p>
        </w:tc>
        <w:tc>
          <w:tcPr>
            <w:tcW w:w="170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276"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70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559" w:type="dxa"/>
            <w:vAlign w:val="center"/>
          </w:tcPr>
          <w:p>
            <w:pPr>
              <w:adjustRightInd w:val="0"/>
              <w:snapToGrid w:val="0"/>
              <w:ind w:firstLine="0" w:firstLineChars="0"/>
              <w:jc w:val="center"/>
              <w:rPr>
                <w:snapToGrid w:val="0"/>
                <w:color w:val="auto"/>
                <w:kern w:val="21"/>
                <w:sz w:val="21"/>
                <w:szCs w:val="21"/>
              </w:rPr>
            </w:pPr>
            <w:r>
              <w:rPr>
                <w:rFonts w:hint="eastAsia"/>
                <w:color w:val="auto"/>
                <w:sz w:val="21"/>
                <w:szCs w:val="21"/>
              </w:rPr>
              <w:t>0.523</w:t>
            </w:r>
          </w:p>
        </w:tc>
        <w:tc>
          <w:tcPr>
            <w:tcW w:w="176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835" w:type="dxa"/>
            <w:vAlign w:val="center"/>
          </w:tcPr>
          <w:p>
            <w:pPr>
              <w:adjustRightInd w:val="0"/>
              <w:snapToGrid w:val="0"/>
              <w:ind w:firstLine="0" w:firstLineChars="0"/>
              <w:jc w:val="center"/>
              <w:rPr>
                <w:snapToGrid w:val="0"/>
                <w:color w:val="auto"/>
                <w:kern w:val="21"/>
                <w:sz w:val="21"/>
                <w:szCs w:val="21"/>
              </w:rPr>
            </w:pPr>
            <w:r>
              <w:rPr>
                <w:rFonts w:hint="eastAsia"/>
                <w:color w:val="auto"/>
                <w:sz w:val="21"/>
                <w:szCs w:val="21"/>
              </w:rPr>
              <w:t>0.523</w:t>
            </w:r>
          </w:p>
        </w:tc>
        <w:tc>
          <w:tcPr>
            <w:tcW w:w="950"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0" w:type="dxa"/>
            <w:vMerge w:val="continue"/>
            <w:vAlign w:val="center"/>
          </w:tcPr>
          <w:p>
            <w:pPr>
              <w:pStyle w:val="54"/>
              <w:spacing w:line="360" w:lineRule="auto"/>
              <w:rPr>
                <w:snapToGrid w:val="0"/>
                <w:color w:val="auto"/>
                <w:kern w:val="21"/>
              </w:rPr>
            </w:pPr>
          </w:p>
        </w:tc>
        <w:tc>
          <w:tcPr>
            <w:tcW w:w="1795" w:type="dxa"/>
            <w:vAlign w:val="center"/>
          </w:tcPr>
          <w:p>
            <w:pPr>
              <w:adjustRightInd w:val="0"/>
              <w:snapToGrid w:val="0"/>
              <w:ind w:firstLine="0" w:firstLineChars="0"/>
              <w:jc w:val="center"/>
              <w:rPr>
                <w:color w:val="auto"/>
                <w:sz w:val="21"/>
                <w:szCs w:val="21"/>
              </w:rPr>
            </w:pPr>
            <w:r>
              <w:rPr>
                <w:rFonts w:hint="eastAsia"/>
                <w:color w:val="auto"/>
                <w:sz w:val="21"/>
                <w:szCs w:val="21"/>
              </w:rPr>
              <w:t>苯并[a]芘</w:t>
            </w:r>
          </w:p>
        </w:tc>
        <w:tc>
          <w:tcPr>
            <w:tcW w:w="170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276"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70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559" w:type="dxa"/>
            <w:vAlign w:val="center"/>
          </w:tcPr>
          <w:p>
            <w:pPr>
              <w:adjustRightInd w:val="0"/>
              <w:snapToGrid w:val="0"/>
              <w:ind w:firstLine="0" w:firstLineChars="0"/>
              <w:jc w:val="center"/>
              <w:rPr>
                <w:snapToGrid w:val="0"/>
                <w:color w:val="auto"/>
                <w:kern w:val="21"/>
                <w:sz w:val="21"/>
                <w:szCs w:val="21"/>
              </w:rPr>
            </w:pPr>
            <w:r>
              <w:rPr>
                <w:rFonts w:hint="eastAsia"/>
                <w:color w:val="auto"/>
                <w:sz w:val="21"/>
                <w:szCs w:val="21"/>
              </w:rPr>
              <w:t>0.00002</w:t>
            </w:r>
          </w:p>
        </w:tc>
        <w:tc>
          <w:tcPr>
            <w:tcW w:w="176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835" w:type="dxa"/>
            <w:vAlign w:val="center"/>
          </w:tcPr>
          <w:p>
            <w:pPr>
              <w:adjustRightInd w:val="0"/>
              <w:snapToGrid w:val="0"/>
              <w:ind w:firstLine="0" w:firstLineChars="0"/>
              <w:jc w:val="center"/>
              <w:rPr>
                <w:snapToGrid w:val="0"/>
                <w:color w:val="auto"/>
                <w:kern w:val="21"/>
                <w:sz w:val="21"/>
                <w:szCs w:val="21"/>
              </w:rPr>
            </w:pPr>
            <w:r>
              <w:rPr>
                <w:rFonts w:hint="eastAsia"/>
                <w:color w:val="auto"/>
                <w:sz w:val="21"/>
                <w:szCs w:val="21"/>
              </w:rPr>
              <w:t>0.00002</w:t>
            </w:r>
          </w:p>
        </w:tc>
        <w:tc>
          <w:tcPr>
            <w:tcW w:w="950"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0" w:type="dxa"/>
            <w:vMerge w:val="continue"/>
            <w:vAlign w:val="center"/>
          </w:tcPr>
          <w:p>
            <w:pPr>
              <w:pStyle w:val="54"/>
              <w:spacing w:line="360" w:lineRule="auto"/>
              <w:rPr>
                <w:snapToGrid w:val="0"/>
                <w:color w:val="auto"/>
                <w:kern w:val="21"/>
              </w:rPr>
            </w:pPr>
          </w:p>
        </w:tc>
        <w:tc>
          <w:tcPr>
            <w:tcW w:w="1795" w:type="dxa"/>
            <w:vAlign w:val="center"/>
          </w:tcPr>
          <w:p>
            <w:pPr>
              <w:adjustRightInd w:val="0"/>
              <w:snapToGrid w:val="0"/>
              <w:ind w:firstLine="0" w:firstLineChars="0"/>
              <w:jc w:val="center"/>
              <w:rPr>
                <w:color w:val="auto"/>
                <w:sz w:val="21"/>
                <w:szCs w:val="21"/>
              </w:rPr>
            </w:pPr>
            <w:r>
              <w:rPr>
                <w:rFonts w:hint="eastAsia"/>
                <w:color w:val="auto"/>
                <w:sz w:val="21"/>
                <w:szCs w:val="21"/>
              </w:rPr>
              <w:t>沥青烟</w:t>
            </w:r>
          </w:p>
        </w:tc>
        <w:tc>
          <w:tcPr>
            <w:tcW w:w="170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276"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70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559" w:type="dxa"/>
            <w:vAlign w:val="center"/>
          </w:tcPr>
          <w:p>
            <w:pPr>
              <w:adjustRightInd w:val="0"/>
              <w:snapToGrid w:val="0"/>
              <w:ind w:firstLine="0" w:firstLineChars="0"/>
              <w:jc w:val="center"/>
              <w:rPr>
                <w:snapToGrid w:val="0"/>
                <w:color w:val="auto"/>
                <w:kern w:val="21"/>
                <w:sz w:val="21"/>
                <w:szCs w:val="21"/>
              </w:rPr>
            </w:pPr>
            <w:r>
              <w:rPr>
                <w:rFonts w:hint="eastAsia"/>
                <w:color w:val="auto"/>
                <w:sz w:val="21"/>
                <w:szCs w:val="21"/>
              </w:rPr>
              <w:t>0.008</w:t>
            </w:r>
          </w:p>
        </w:tc>
        <w:tc>
          <w:tcPr>
            <w:tcW w:w="176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835" w:type="dxa"/>
            <w:vAlign w:val="center"/>
          </w:tcPr>
          <w:p>
            <w:pPr>
              <w:adjustRightInd w:val="0"/>
              <w:snapToGrid w:val="0"/>
              <w:ind w:firstLine="0" w:firstLineChars="0"/>
              <w:jc w:val="center"/>
              <w:rPr>
                <w:snapToGrid w:val="0"/>
                <w:color w:val="auto"/>
                <w:kern w:val="21"/>
                <w:sz w:val="21"/>
                <w:szCs w:val="21"/>
              </w:rPr>
            </w:pPr>
            <w:r>
              <w:rPr>
                <w:rFonts w:hint="eastAsia"/>
                <w:color w:val="auto"/>
                <w:sz w:val="21"/>
                <w:szCs w:val="21"/>
              </w:rPr>
              <w:t>0.008</w:t>
            </w:r>
          </w:p>
        </w:tc>
        <w:tc>
          <w:tcPr>
            <w:tcW w:w="950"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0" w:type="dxa"/>
            <w:vMerge w:val="restart"/>
            <w:vAlign w:val="center"/>
          </w:tcPr>
          <w:p>
            <w:pPr>
              <w:pStyle w:val="54"/>
              <w:spacing w:line="360" w:lineRule="auto"/>
              <w:rPr>
                <w:snapToGrid w:val="0"/>
                <w:color w:val="auto"/>
                <w:kern w:val="21"/>
              </w:rPr>
            </w:pPr>
            <w:r>
              <w:rPr>
                <w:snapToGrid w:val="0"/>
                <w:color w:val="auto"/>
                <w:kern w:val="21"/>
              </w:rPr>
              <w:t>废水</w:t>
            </w:r>
          </w:p>
        </w:tc>
        <w:tc>
          <w:tcPr>
            <w:tcW w:w="1795" w:type="dxa"/>
            <w:vAlign w:val="center"/>
          </w:tcPr>
          <w:p>
            <w:pPr>
              <w:pStyle w:val="54"/>
              <w:spacing w:line="360" w:lineRule="auto"/>
              <w:rPr>
                <w:snapToGrid w:val="0"/>
                <w:color w:val="auto"/>
                <w:kern w:val="21"/>
              </w:rPr>
            </w:pPr>
            <w:r>
              <w:rPr>
                <w:rFonts w:hint="eastAsia"/>
                <w:snapToGrid w:val="0"/>
                <w:color w:val="auto"/>
                <w:kern w:val="21"/>
              </w:rPr>
              <w:t>COD</w:t>
            </w:r>
          </w:p>
        </w:tc>
        <w:tc>
          <w:tcPr>
            <w:tcW w:w="170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276"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70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559"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76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835"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950"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0" w:type="dxa"/>
            <w:vMerge w:val="continue"/>
            <w:vAlign w:val="center"/>
          </w:tcPr>
          <w:p>
            <w:pPr>
              <w:pStyle w:val="54"/>
              <w:spacing w:line="360" w:lineRule="auto"/>
              <w:rPr>
                <w:snapToGrid w:val="0"/>
                <w:color w:val="auto"/>
                <w:kern w:val="21"/>
              </w:rPr>
            </w:pPr>
          </w:p>
        </w:tc>
        <w:tc>
          <w:tcPr>
            <w:tcW w:w="1795" w:type="dxa"/>
            <w:vAlign w:val="center"/>
          </w:tcPr>
          <w:p>
            <w:pPr>
              <w:pStyle w:val="54"/>
              <w:spacing w:line="360" w:lineRule="auto"/>
              <w:rPr>
                <w:snapToGrid w:val="0"/>
                <w:color w:val="auto"/>
                <w:kern w:val="21"/>
              </w:rPr>
            </w:pPr>
            <w:r>
              <w:rPr>
                <w:rFonts w:hint="eastAsia"/>
                <w:snapToGrid w:val="0"/>
                <w:color w:val="auto"/>
                <w:kern w:val="21"/>
              </w:rPr>
              <w:t>BOD</w:t>
            </w:r>
            <w:r>
              <w:rPr>
                <w:rFonts w:hint="eastAsia"/>
                <w:snapToGrid w:val="0"/>
                <w:color w:val="auto"/>
                <w:kern w:val="21"/>
                <w:vertAlign w:val="subscript"/>
              </w:rPr>
              <w:t>5</w:t>
            </w:r>
          </w:p>
        </w:tc>
        <w:tc>
          <w:tcPr>
            <w:tcW w:w="170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276"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70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559"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76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835"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950"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0" w:type="dxa"/>
            <w:vMerge w:val="continue"/>
            <w:vAlign w:val="center"/>
          </w:tcPr>
          <w:p>
            <w:pPr>
              <w:pStyle w:val="54"/>
              <w:spacing w:line="360" w:lineRule="auto"/>
              <w:rPr>
                <w:snapToGrid w:val="0"/>
                <w:color w:val="auto"/>
                <w:kern w:val="21"/>
              </w:rPr>
            </w:pPr>
          </w:p>
        </w:tc>
        <w:tc>
          <w:tcPr>
            <w:tcW w:w="1795" w:type="dxa"/>
            <w:vAlign w:val="center"/>
          </w:tcPr>
          <w:p>
            <w:pPr>
              <w:pStyle w:val="54"/>
              <w:spacing w:line="360" w:lineRule="auto"/>
              <w:rPr>
                <w:snapToGrid w:val="0"/>
                <w:color w:val="auto"/>
                <w:kern w:val="21"/>
              </w:rPr>
            </w:pPr>
            <w:r>
              <w:rPr>
                <w:rFonts w:hint="eastAsia"/>
                <w:snapToGrid w:val="0"/>
                <w:color w:val="auto"/>
                <w:kern w:val="21"/>
              </w:rPr>
              <w:t>氨氮</w:t>
            </w:r>
          </w:p>
        </w:tc>
        <w:tc>
          <w:tcPr>
            <w:tcW w:w="170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276"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70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559"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76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835"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950"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0" w:type="dxa"/>
            <w:vMerge w:val="continue"/>
            <w:vAlign w:val="center"/>
          </w:tcPr>
          <w:p>
            <w:pPr>
              <w:pStyle w:val="54"/>
              <w:spacing w:line="360" w:lineRule="auto"/>
              <w:rPr>
                <w:snapToGrid w:val="0"/>
                <w:color w:val="auto"/>
                <w:kern w:val="21"/>
              </w:rPr>
            </w:pPr>
          </w:p>
        </w:tc>
        <w:tc>
          <w:tcPr>
            <w:tcW w:w="1795" w:type="dxa"/>
            <w:vAlign w:val="center"/>
          </w:tcPr>
          <w:p>
            <w:pPr>
              <w:pStyle w:val="54"/>
              <w:spacing w:line="360" w:lineRule="auto"/>
              <w:rPr>
                <w:snapToGrid w:val="0"/>
                <w:color w:val="auto"/>
                <w:kern w:val="21"/>
              </w:rPr>
            </w:pPr>
            <w:r>
              <w:rPr>
                <w:rFonts w:hint="eastAsia"/>
                <w:snapToGrid w:val="0"/>
                <w:color w:val="auto"/>
                <w:kern w:val="21"/>
              </w:rPr>
              <w:t>总磷</w:t>
            </w:r>
          </w:p>
        </w:tc>
        <w:tc>
          <w:tcPr>
            <w:tcW w:w="170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276"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70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559"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76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835"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950"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0" w:type="dxa"/>
            <w:vMerge w:val="restart"/>
            <w:vAlign w:val="center"/>
          </w:tcPr>
          <w:p>
            <w:pPr>
              <w:pStyle w:val="54"/>
              <w:spacing w:line="360" w:lineRule="auto"/>
              <w:rPr>
                <w:snapToGrid w:val="0"/>
                <w:color w:val="auto"/>
                <w:kern w:val="21"/>
              </w:rPr>
            </w:pPr>
            <w:r>
              <w:rPr>
                <w:snapToGrid w:val="0"/>
                <w:color w:val="auto"/>
                <w:kern w:val="21"/>
              </w:rPr>
              <w:t>一般工业固体废物</w:t>
            </w:r>
          </w:p>
        </w:tc>
        <w:tc>
          <w:tcPr>
            <w:tcW w:w="1795" w:type="dxa"/>
            <w:vAlign w:val="center"/>
          </w:tcPr>
          <w:p>
            <w:pPr>
              <w:snapToGrid w:val="0"/>
              <w:ind w:firstLine="0" w:firstLineChars="0"/>
              <w:jc w:val="center"/>
              <w:rPr>
                <w:color w:val="auto"/>
                <w:sz w:val="21"/>
                <w:szCs w:val="21"/>
              </w:rPr>
            </w:pPr>
            <w:r>
              <w:rPr>
                <w:rFonts w:hint="eastAsia"/>
                <w:color w:val="auto"/>
                <w:sz w:val="21"/>
                <w:szCs w:val="21"/>
              </w:rPr>
              <w:t>实验废料</w:t>
            </w:r>
          </w:p>
        </w:tc>
        <w:tc>
          <w:tcPr>
            <w:tcW w:w="170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276"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70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559" w:type="dxa"/>
            <w:vAlign w:val="center"/>
          </w:tcPr>
          <w:p>
            <w:pPr>
              <w:ind w:firstLine="0" w:firstLineChars="0"/>
              <w:jc w:val="center"/>
              <w:rPr>
                <w:snapToGrid w:val="0"/>
                <w:color w:val="auto"/>
                <w:kern w:val="21"/>
                <w:sz w:val="21"/>
                <w:szCs w:val="21"/>
              </w:rPr>
            </w:pPr>
            <w:r>
              <w:rPr>
                <w:rFonts w:hint="eastAsia"/>
                <w:color w:val="auto"/>
                <w:sz w:val="21"/>
                <w:szCs w:val="21"/>
              </w:rPr>
              <w:t>4</w:t>
            </w:r>
          </w:p>
        </w:tc>
        <w:tc>
          <w:tcPr>
            <w:tcW w:w="176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835" w:type="dxa"/>
            <w:vAlign w:val="center"/>
          </w:tcPr>
          <w:p>
            <w:pPr>
              <w:ind w:firstLine="0" w:firstLineChars="0"/>
              <w:jc w:val="center"/>
              <w:rPr>
                <w:snapToGrid w:val="0"/>
                <w:color w:val="auto"/>
                <w:kern w:val="21"/>
                <w:sz w:val="21"/>
                <w:szCs w:val="21"/>
              </w:rPr>
            </w:pPr>
            <w:r>
              <w:rPr>
                <w:rFonts w:hint="eastAsia"/>
                <w:color w:val="auto"/>
                <w:sz w:val="21"/>
                <w:szCs w:val="21"/>
              </w:rPr>
              <w:t>4</w:t>
            </w:r>
          </w:p>
        </w:tc>
        <w:tc>
          <w:tcPr>
            <w:tcW w:w="950"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0" w:type="dxa"/>
            <w:vMerge w:val="continue"/>
            <w:vAlign w:val="center"/>
          </w:tcPr>
          <w:p>
            <w:pPr>
              <w:pStyle w:val="54"/>
              <w:spacing w:line="360" w:lineRule="auto"/>
              <w:rPr>
                <w:snapToGrid w:val="0"/>
                <w:color w:val="auto"/>
                <w:kern w:val="21"/>
              </w:rPr>
            </w:pPr>
          </w:p>
        </w:tc>
        <w:tc>
          <w:tcPr>
            <w:tcW w:w="1795" w:type="dxa"/>
            <w:vAlign w:val="center"/>
          </w:tcPr>
          <w:p>
            <w:pPr>
              <w:snapToGrid w:val="0"/>
              <w:ind w:firstLine="0" w:firstLineChars="0"/>
              <w:jc w:val="center"/>
              <w:rPr>
                <w:color w:val="auto"/>
                <w:sz w:val="21"/>
                <w:szCs w:val="21"/>
              </w:rPr>
            </w:pPr>
            <w:r>
              <w:rPr>
                <w:rFonts w:hint="eastAsia"/>
                <w:color w:val="auto"/>
                <w:sz w:val="21"/>
                <w:szCs w:val="21"/>
              </w:rPr>
              <w:t>污泥</w:t>
            </w:r>
          </w:p>
        </w:tc>
        <w:tc>
          <w:tcPr>
            <w:tcW w:w="170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276"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70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559" w:type="dxa"/>
            <w:vAlign w:val="center"/>
          </w:tcPr>
          <w:p>
            <w:pPr>
              <w:ind w:firstLine="0" w:firstLineChars="0"/>
              <w:jc w:val="center"/>
              <w:rPr>
                <w:snapToGrid w:val="0"/>
                <w:color w:val="auto"/>
                <w:kern w:val="21"/>
                <w:sz w:val="21"/>
                <w:szCs w:val="21"/>
              </w:rPr>
            </w:pPr>
            <w:r>
              <w:rPr>
                <w:rFonts w:hint="eastAsia"/>
                <w:color w:val="auto"/>
                <w:sz w:val="21"/>
                <w:szCs w:val="21"/>
              </w:rPr>
              <w:t>2</w:t>
            </w:r>
          </w:p>
        </w:tc>
        <w:tc>
          <w:tcPr>
            <w:tcW w:w="176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835" w:type="dxa"/>
            <w:vAlign w:val="center"/>
          </w:tcPr>
          <w:p>
            <w:pPr>
              <w:ind w:firstLine="0" w:firstLineChars="0"/>
              <w:jc w:val="center"/>
              <w:rPr>
                <w:snapToGrid w:val="0"/>
                <w:color w:val="auto"/>
                <w:kern w:val="21"/>
                <w:sz w:val="21"/>
                <w:szCs w:val="21"/>
              </w:rPr>
            </w:pPr>
            <w:r>
              <w:rPr>
                <w:rFonts w:hint="eastAsia"/>
                <w:color w:val="auto"/>
                <w:sz w:val="21"/>
                <w:szCs w:val="21"/>
              </w:rPr>
              <w:t>2</w:t>
            </w:r>
          </w:p>
        </w:tc>
        <w:tc>
          <w:tcPr>
            <w:tcW w:w="950"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0" w:type="dxa"/>
            <w:vMerge w:val="continue"/>
            <w:vAlign w:val="center"/>
          </w:tcPr>
          <w:p>
            <w:pPr>
              <w:pStyle w:val="54"/>
              <w:spacing w:line="360" w:lineRule="auto"/>
              <w:rPr>
                <w:snapToGrid w:val="0"/>
                <w:color w:val="auto"/>
                <w:kern w:val="21"/>
              </w:rPr>
            </w:pPr>
          </w:p>
        </w:tc>
        <w:tc>
          <w:tcPr>
            <w:tcW w:w="1795" w:type="dxa"/>
            <w:vAlign w:val="center"/>
          </w:tcPr>
          <w:p>
            <w:pPr>
              <w:snapToGrid w:val="0"/>
              <w:ind w:firstLine="0" w:firstLineChars="0"/>
              <w:jc w:val="center"/>
              <w:rPr>
                <w:color w:val="auto"/>
                <w:sz w:val="21"/>
                <w:szCs w:val="21"/>
              </w:rPr>
            </w:pPr>
            <w:r>
              <w:rPr>
                <w:color w:val="auto"/>
                <w:sz w:val="21"/>
                <w:szCs w:val="21"/>
              </w:rPr>
              <w:t>生活垃圾</w:t>
            </w:r>
          </w:p>
        </w:tc>
        <w:tc>
          <w:tcPr>
            <w:tcW w:w="170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276"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70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559" w:type="dxa"/>
            <w:vAlign w:val="center"/>
          </w:tcPr>
          <w:p>
            <w:pPr>
              <w:ind w:firstLine="0" w:firstLineChars="0"/>
              <w:jc w:val="center"/>
              <w:rPr>
                <w:snapToGrid w:val="0"/>
                <w:color w:val="auto"/>
                <w:kern w:val="21"/>
                <w:sz w:val="21"/>
                <w:szCs w:val="21"/>
              </w:rPr>
            </w:pPr>
            <w:r>
              <w:rPr>
                <w:rFonts w:hint="eastAsia"/>
                <w:color w:val="auto"/>
                <w:sz w:val="21"/>
                <w:szCs w:val="21"/>
              </w:rPr>
              <w:t>72</w:t>
            </w:r>
          </w:p>
        </w:tc>
        <w:tc>
          <w:tcPr>
            <w:tcW w:w="176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835" w:type="dxa"/>
            <w:vAlign w:val="center"/>
          </w:tcPr>
          <w:p>
            <w:pPr>
              <w:ind w:firstLine="0" w:firstLineChars="0"/>
              <w:jc w:val="center"/>
              <w:rPr>
                <w:snapToGrid w:val="0"/>
                <w:color w:val="auto"/>
                <w:kern w:val="21"/>
                <w:sz w:val="21"/>
                <w:szCs w:val="21"/>
              </w:rPr>
            </w:pPr>
            <w:r>
              <w:rPr>
                <w:rFonts w:hint="eastAsia"/>
                <w:color w:val="auto"/>
                <w:sz w:val="21"/>
                <w:szCs w:val="21"/>
              </w:rPr>
              <w:t>72</w:t>
            </w:r>
          </w:p>
        </w:tc>
        <w:tc>
          <w:tcPr>
            <w:tcW w:w="950"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0" w:type="dxa"/>
            <w:vMerge w:val="restart"/>
            <w:vAlign w:val="center"/>
          </w:tcPr>
          <w:p>
            <w:pPr>
              <w:pStyle w:val="54"/>
              <w:spacing w:line="360" w:lineRule="auto"/>
              <w:rPr>
                <w:snapToGrid w:val="0"/>
                <w:color w:val="auto"/>
                <w:kern w:val="21"/>
              </w:rPr>
            </w:pPr>
            <w:r>
              <w:rPr>
                <w:snapToGrid w:val="0"/>
                <w:color w:val="auto"/>
                <w:kern w:val="21"/>
              </w:rPr>
              <w:t>危险废物</w:t>
            </w:r>
          </w:p>
        </w:tc>
        <w:tc>
          <w:tcPr>
            <w:tcW w:w="1795" w:type="dxa"/>
            <w:vAlign w:val="center"/>
          </w:tcPr>
          <w:p>
            <w:pPr>
              <w:snapToGrid w:val="0"/>
              <w:ind w:firstLine="0" w:firstLineChars="0"/>
              <w:jc w:val="center"/>
              <w:rPr>
                <w:color w:val="auto"/>
                <w:sz w:val="21"/>
                <w:szCs w:val="21"/>
              </w:rPr>
            </w:pPr>
            <w:r>
              <w:rPr>
                <w:color w:val="auto"/>
                <w:sz w:val="21"/>
                <w:szCs w:val="21"/>
              </w:rPr>
              <w:t>废活性炭</w:t>
            </w:r>
          </w:p>
        </w:tc>
        <w:tc>
          <w:tcPr>
            <w:tcW w:w="170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276"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70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559" w:type="dxa"/>
            <w:vAlign w:val="center"/>
          </w:tcPr>
          <w:p>
            <w:pPr>
              <w:ind w:firstLine="0" w:firstLineChars="0"/>
              <w:jc w:val="center"/>
              <w:rPr>
                <w:snapToGrid w:val="0"/>
                <w:color w:val="auto"/>
                <w:kern w:val="21"/>
                <w:sz w:val="21"/>
                <w:szCs w:val="21"/>
              </w:rPr>
            </w:pPr>
            <w:r>
              <w:rPr>
                <w:rFonts w:hint="eastAsia"/>
                <w:color w:val="auto"/>
                <w:sz w:val="21"/>
                <w:szCs w:val="21"/>
              </w:rPr>
              <w:t>0.6</w:t>
            </w:r>
          </w:p>
        </w:tc>
        <w:tc>
          <w:tcPr>
            <w:tcW w:w="176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835" w:type="dxa"/>
            <w:vAlign w:val="center"/>
          </w:tcPr>
          <w:p>
            <w:pPr>
              <w:ind w:firstLine="0" w:firstLineChars="0"/>
              <w:jc w:val="center"/>
              <w:rPr>
                <w:snapToGrid w:val="0"/>
                <w:color w:val="auto"/>
                <w:kern w:val="21"/>
                <w:sz w:val="21"/>
                <w:szCs w:val="21"/>
              </w:rPr>
            </w:pPr>
            <w:r>
              <w:rPr>
                <w:rFonts w:hint="eastAsia"/>
                <w:color w:val="auto"/>
                <w:sz w:val="21"/>
                <w:szCs w:val="21"/>
              </w:rPr>
              <w:t>0.6</w:t>
            </w:r>
          </w:p>
        </w:tc>
        <w:tc>
          <w:tcPr>
            <w:tcW w:w="950"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0" w:type="dxa"/>
            <w:vMerge w:val="continue"/>
            <w:vAlign w:val="center"/>
          </w:tcPr>
          <w:p>
            <w:pPr>
              <w:pStyle w:val="54"/>
              <w:spacing w:line="360" w:lineRule="auto"/>
              <w:rPr>
                <w:snapToGrid w:val="0"/>
                <w:color w:val="auto"/>
                <w:kern w:val="21"/>
              </w:rPr>
            </w:pPr>
          </w:p>
        </w:tc>
        <w:tc>
          <w:tcPr>
            <w:tcW w:w="1795" w:type="dxa"/>
            <w:vAlign w:val="center"/>
          </w:tcPr>
          <w:p>
            <w:pPr>
              <w:snapToGrid w:val="0"/>
              <w:ind w:firstLine="0" w:firstLineChars="0"/>
              <w:jc w:val="center"/>
              <w:rPr>
                <w:color w:val="auto"/>
                <w:sz w:val="21"/>
                <w:szCs w:val="21"/>
              </w:rPr>
            </w:pPr>
            <w:r>
              <w:rPr>
                <w:rFonts w:hint="eastAsia"/>
                <w:color w:val="auto"/>
                <w:sz w:val="21"/>
                <w:szCs w:val="21"/>
              </w:rPr>
              <w:t>电捕焦油</w:t>
            </w:r>
          </w:p>
        </w:tc>
        <w:tc>
          <w:tcPr>
            <w:tcW w:w="170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276"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70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559" w:type="dxa"/>
            <w:vAlign w:val="center"/>
          </w:tcPr>
          <w:p>
            <w:pPr>
              <w:ind w:firstLine="0" w:firstLineChars="0"/>
              <w:jc w:val="center"/>
              <w:rPr>
                <w:color w:val="auto"/>
                <w:sz w:val="21"/>
                <w:szCs w:val="21"/>
              </w:rPr>
            </w:pPr>
            <w:r>
              <w:rPr>
                <w:rFonts w:hint="eastAsia"/>
                <w:color w:val="auto"/>
                <w:sz w:val="21"/>
                <w:szCs w:val="21"/>
              </w:rPr>
              <w:t>0.39</w:t>
            </w:r>
          </w:p>
        </w:tc>
        <w:tc>
          <w:tcPr>
            <w:tcW w:w="176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835" w:type="dxa"/>
            <w:vAlign w:val="center"/>
          </w:tcPr>
          <w:p>
            <w:pPr>
              <w:ind w:firstLine="0" w:firstLineChars="0"/>
              <w:jc w:val="center"/>
              <w:rPr>
                <w:color w:val="auto"/>
                <w:sz w:val="21"/>
                <w:szCs w:val="21"/>
              </w:rPr>
            </w:pPr>
            <w:r>
              <w:rPr>
                <w:rFonts w:hint="eastAsia"/>
                <w:color w:val="auto"/>
                <w:sz w:val="21"/>
                <w:szCs w:val="21"/>
              </w:rPr>
              <w:t>0.39</w:t>
            </w:r>
          </w:p>
        </w:tc>
        <w:tc>
          <w:tcPr>
            <w:tcW w:w="950"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0" w:type="dxa"/>
            <w:vMerge w:val="continue"/>
            <w:vAlign w:val="center"/>
          </w:tcPr>
          <w:p>
            <w:pPr>
              <w:pStyle w:val="54"/>
              <w:spacing w:line="360" w:lineRule="auto"/>
              <w:rPr>
                <w:snapToGrid w:val="0"/>
                <w:color w:val="auto"/>
                <w:kern w:val="21"/>
              </w:rPr>
            </w:pPr>
          </w:p>
        </w:tc>
        <w:tc>
          <w:tcPr>
            <w:tcW w:w="1795" w:type="dxa"/>
            <w:vAlign w:val="center"/>
          </w:tcPr>
          <w:p>
            <w:pPr>
              <w:snapToGrid w:val="0"/>
              <w:ind w:firstLine="0" w:firstLineChars="0"/>
              <w:jc w:val="center"/>
              <w:rPr>
                <w:color w:val="auto"/>
                <w:sz w:val="21"/>
                <w:szCs w:val="21"/>
              </w:rPr>
            </w:pPr>
            <w:r>
              <w:rPr>
                <w:rFonts w:hint="eastAsia"/>
                <w:color w:val="auto"/>
                <w:sz w:val="21"/>
                <w:szCs w:val="21"/>
              </w:rPr>
              <w:t>废导热油</w:t>
            </w:r>
          </w:p>
        </w:tc>
        <w:tc>
          <w:tcPr>
            <w:tcW w:w="170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276"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70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559" w:type="dxa"/>
            <w:vAlign w:val="center"/>
          </w:tcPr>
          <w:p>
            <w:pPr>
              <w:ind w:firstLine="0" w:firstLineChars="0"/>
              <w:jc w:val="center"/>
              <w:rPr>
                <w:snapToGrid w:val="0"/>
                <w:color w:val="auto"/>
                <w:kern w:val="21"/>
                <w:sz w:val="21"/>
                <w:szCs w:val="21"/>
              </w:rPr>
            </w:pPr>
            <w:r>
              <w:rPr>
                <w:rFonts w:hint="eastAsia"/>
                <w:color w:val="auto"/>
                <w:sz w:val="21"/>
                <w:szCs w:val="21"/>
              </w:rPr>
              <w:t>17</w:t>
            </w:r>
            <w:r>
              <w:rPr>
                <w:color w:val="auto"/>
                <w:sz w:val="21"/>
                <w:szCs w:val="21"/>
              </w:rPr>
              <w:t>t/</w:t>
            </w:r>
            <w:r>
              <w:rPr>
                <w:rFonts w:hint="eastAsia"/>
                <w:color w:val="auto"/>
                <w:sz w:val="21"/>
                <w:szCs w:val="21"/>
              </w:rPr>
              <w:t>5</w:t>
            </w:r>
            <w:r>
              <w:rPr>
                <w:color w:val="auto"/>
                <w:sz w:val="21"/>
                <w:szCs w:val="21"/>
              </w:rPr>
              <w:t>a</w:t>
            </w:r>
          </w:p>
        </w:tc>
        <w:tc>
          <w:tcPr>
            <w:tcW w:w="176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835" w:type="dxa"/>
            <w:vAlign w:val="center"/>
          </w:tcPr>
          <w:p>
            <w:pPr>
              <w:ind w:firstLine="0" w:firstLineChars="0"/>
              <w:jc w:val="center"/>
              <w:rPr>
                <w:snapToGrid w:val="0"/>
                <w:color w:val="auto"/>
                <w:kern w:val="21"/>
                <w:sz w:val="21"/>
                <w:szCs w:val="21"/>
              </w:rPr>
            </w:pPr>
            <w:r>
              <w:rPr>
                <w:rFonts w:hint="eastAsia"/>
                <w:color w:val="auto"/>
                <w:sz w:val="21"/>
                <w:szCs w:val="21"/>
              </w:rPr>
              <w:t>17</w:t>
            </w:r>
            <w:r>
              <w:rPr>
                <w:color w:val="auto"/>
                <w:sz w:val="21"/>
                <w:szCs w:val="21"/>
              </w:rPr>
              <w:t>t/</w:t>
            </w:r>
            <w:r>
              <w:rPr>
                <w:rFonts w:hint="eastAsia"/>
                <w:color w:val="auto"/>
                <w:sz w:val="21"/>
                <w:szCs w:val="21"/>
              </w:rPr>
              <w:t>5</w:t>
            </w:r>
            <w:r>
              <w:rPr>
                <w:color w:val="auto"/>
                <w:sz w:val="21"/>
                <w:szCs w:val="21"/>
              </w:rPr>
              <w:t>a</w:t>
            </w:r>
          </w:p>
        </w:tc>
        <w:tc>
          <w:tcPr>
            <w:tcW w:w="950"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0" w:type="dxa"/>
            <w:vMerge w:val="continue"/>
            <w:vAlign w:val="center"/>
          </w:tcPr>
          <w:p>
            <w:pPr>
              <w:pStyle w:val="54"/>
              <w:spacing w:line="360" w:lineRule="auto"/>
              <w:rPr>
                <w:snapToGrid w:val="0"/>
                <w:color w:val="auto"/>
                <w:kern w:val="21"/>
              </w:rPr>
            </w:pPr>
          </w:p>
        </w:tc>
        <w:tc>
          <w:tcPr>
            <w:tcW w:w="1795" w:type="dxa"/>
            <w:vAlign w:val="center"/>
          </w:tcPr>
          <w:p>
            <w:pPr>
              <w:snapToGrid w:val="0"/>
              <w:ind w:firstLine="0" w:firstLineChars="0"/>
              <w:jc w:val="center"/>
              <w:rPr>
                <w:color w:val="auto"/>
                <w:sz w:val="21"/>
                <w:szCs w:val="21"/>
              </w:rPr>
            </w:pPr>
            <w:r>
              <w:rPr>
                <w:rFonts w:hint="eastAsia"/>
                <w:color w:val="auto"/>
                <w:sz w:val="21"/>
                <w:szCs w:val="21"/>
              </w:rPr>
              <w:t>废润滑油</w:t>
            </w:r>
          </w:p>
        </w:tc>
        <w:tc>
          <w:tcPr>
            <w:tcW w:w="170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276"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70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559" w:type="dxa"/>
            <w:vAlign w:val="center"/>
          </w:tcPr>
          <w:p>
            <w:pPr>
              <w:ind w:firstLine="0" w:firstLineChars="0"/>
              <w:jc w:val="center"/>
              <w:rPr>
                <w:snapToGrid w:val="0"/>
                <w:color w:val="auto"/>
                <w:kern w:val="21"/>
                <w:sz w:val="21"/>
                <w:szCs w:val="21"/>
              </w:rPr>
            </w:pPr>
            <w:r>
              <w:rPr>
                <w:rFonts w:hint="eastAsia"/>
                <w:color w:val="auto"/>
                <w:sz w:val="21"/>
                <w:szCs w:val="21"/>
              </w:rPr>
              <w:t>0.3</w:t>
            </w:r>
          </w:p>
        </w:tc>
        <w:tc>
          <w:tcPr>
            <w:tcW w:w="176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835" w:type="dxa"/>
            <w:vAlign w:val="center"/>
          </w:tcPr>
          <w:p>
            <w:pPr>
              <w:ind w:firstLine="0" w:firstLineChars="0"/>
              <w:jc w:val="center"/>
              <w:rPr>
                <w:snapToGrid w:val="0"/>
                <w:color w:val="auto"/>
                <w:kern w:val="21"/>
                <w:sz w:val="21"/>
                <w:szCs w:val="21"/>
              </w:rPr>
            </w:pPr>
            <w:r>
              <w:rPr>
                <w:rFonts w:hint="eastAsia"/>
                <w:color w:val="auto"/>
                <w:sz w:val="21"/>
                <w:szCs w:val="21"/>
              </w:rPr>
              <w:t>0.3</w:t>
            </w:r>
          </w:p>
        </w:tc>
        <w:tc>
          <w:tcPr>
            <w:tcW w:w="950"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0" w:type="dxa"/>
            <w:vMerge w:val="continue"/>
            <w:vAlign w:val="center"/>
          </w:tcPr>
          <w:p>
            <w:pPr>
              <w:pStyle w:val="54"/>
              <w:spacing w:line="360" w:lineRule="auto"/>
              <w:rPr>
                <w:snapToGrid w:val="0"/>
                <w:color w:val="auto"/>
                <w:kern w:val="21"/>
              </w:rPr>
            </w:pPr>
          </w:p>
        </w:tc>
        <w:tc>
          <w:tcPr>
            <w:tcW w:w="1795" w:type="dxa"/>
            <w:vAlign w:val="center"/>
          </w:tcPr>
          <w:p>
            <w:pPr>
              <w:snapToGrid w:val="0"/>
              <w:ind w:firstLine="0" w:firstLineChars="0"/>
              <w:jc w:val="center"/>
              <w:rPr>
                <w:color w:val="auto"/>
                <w:sz w:val="21"/>
                <w:szCs w:val="21"/>
              </w:rPr>
            </w:pPr>
            <w:r>
              <w:rPr>
                <w:rFonts w:hint="eastAsia"/>
                <w:color w:val="auto"/>
                <w:sz w:val="21"/>
                <w:szCs w:val="21"/>
              </w:rPr>
              <w:t>废油桶</w:t>
            </w:r>
          </w:p>
        </w:tc>
        <w:tc>
          <w:tcPr>
            <w:tcW w:w="170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276"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70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559" w:type="dxa"/>
            <w:vAlign w:val="center"/>
          </w:tcPr>
          <w:p>
            <w:pPr>
              <w:ind w:firstLine="0" w:firstLineChars="0"/>
              <w:jc w:val="center"/>
              <w:rPr>
                <w:snapToGrid w:val="0"/>
                <w:color w:val="auto"/>
                <w:kern w:val="21"/>
                <w:sz w:val="21"/>
                <w:szCs w:val="21"/>
              </w:rPr>
            </w:pPr>
            <w:r>
              <w:rPr>
                <w:rFonts w:hint="eastAsia"/>
                <w:color w:val="auto"/>
                <w:sz w:val="21"/>
                <w:szCs w:val="21"/>
              </w:rPr>
              <w:t>0.8</w:t>
            </w:r>
          </w:p>
        </w:tc>
        <w:tc>
          <w:tcPr>
            <w:tcW w:w="1761"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c>
          <w:tcPr>
            <w:tcW w:w="1835" w:type="dxa"/>
            <w:vAlign w:val="center"/>
          </w:tcPr>
          <w:p>
            <w:pPr>
              <w:ind w:firstLine="0" w:firstLineChars="0"/>
              <w:jc w:val="center"/>
              <w:rPr>
                <w:snapToGrid w:val="0"/>
                <w:color w:val="auto"/>
                <w:kern w:val="21"/>
                <w:sz w:val="21"/>
                <w:szCs w:val="21"/>
              </w:rPr>
            </w:pPr>
            <w:r>
              <w:rPr>
                <w:rFonts w:hint="eastAsia"/>
                <w:color w:val="auto"/>
                <w:sz w:val="21"/>
                <w:szCs w:val="21"/>
              </w:rPr>
              <w:t>0.8</w:t>
            </w:r>
          </w:p>
        </w:tc>
        <w:tc>
          <w:tcPr>
            <w:tcW w:w="950" w:type="dxa"/>
            <w:vAlign w:val="center"/>
          </w:tcPr>
          <w:p>
            <w:pPr>
              <w:ind w:firstLine="0" w:firstLineChars="0"/>
              <w:jc w:val="center"/>
              <w:rPr>
                <w:snapToGrid w:val="0"/>
                <w:color w:val="auto"/>
                <w:kern w:val="21"/>
                <w:sz w:val="21"/>
                <w:szCs w:val="21"/>
              </w:rPr>
            </w:pPr>
            <w:r>
              <w:rPr>
                <w:rFonts w:hint="eastAsia"/>
                <w:snapToGrid w:val="0"/>
                <w:color w:val="auto"/>
                <w:kern w:val="21"/>
                <w:sz w:val="21"/>
                <w:szCs w:val="21"/>
              </w:rPr>
              <w:t>/</w:t>
            </w:r>
          </w:p>
        </w:tc>
      </w:tr>
    </w:tbl>
    <w:p>
      <w:pPr>
        <w:pStyle w:val="54"/>
        <w:spacing w:before="192" w:beforeLines="80" w:after="24"/>
        <w:jc w:val="left"/>
        <w:rPr>
          <w:rFonts w:hint="eastAsia" w:hAnsi="宋体"/>
          <w:snapToGrid w:val="0"/>
          <w:color w:val="auto"/>
          <w:spacing w:val="-16"/>
          <w:kern w:val="21"/>
        </w:rPr>
        <w:sectPr>
          <w:footerReference r:id="rId12"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r>
        <w:rPr>
          <w:rFonts w:hAnsi="宋体"/>
          <w:snapToGrid w:val="0"/>
          <w:color w:val="auto"/>
          <w:kern w:val="21"/>
        </w:rPr>
        <w:t>注：</w:t>
      </w:r>
      <w:r>
        <w:rPr>
          <w:rFonts w:hAnsi="宋体"/>
          <w:snapToGrid w:val="0"/>
          <w:color w:val="auto"/>
          <w:spacing w:val="-16"/>
          <w:kern w:val="21"/>
        </w:rPr>
        <w:fldChar w:fldCharType="begin"/>
      </w:r>
      <w:r>
        <w:rPr>
          <w:rFonts w:hAnsi="宋体"/>
          <w:snapToGrid w:val="0"/>
          <w:color w:val="auto"/>
          <w:spacing w:val="-16"/>
          <w:kern w:val="21"/>
        </w:rPr>
        <w:instrText xml:space="preserve"> = 6 \* GB3 \* MERGEFORMAT </w:instrText>
      </w:r>
      <w:r>
        <w:rPr>
          <w:rFonts w:hAnsi="宋体"/>
          <w:snapToGrid w:val="0"/>
          <w:color w:val="auto"/>
          <w:spacing w:val="-16"/>
          <w:kern w:val="21"/>
        </w:rPr>
        <w:fldChar w:fldCharType="separate"/>
      </w:r>
      <w:r>
        <w:rPr>
          <w:rFonts w:hint="eastAsia" w:hAnsi="宋体"/>
          <w:color w:val="auto"/>
        </w:rPr>
        <w:t>⑥</w:t>
      </w:r>
      <w:r>
        <w:rPr>
          <w:rFonts w:hAnsi="宋体"/>
          <w:snapToGrid w:val="0"/>
          <w:color w:val="auto"/>
          <w:spacing w:val="-16"/>
          <w:kern w:val="21"/>
        </w:rPr>
        <w:fldChar w:fldCharType="end"/>
      </w:r>
      <w:r>
        <w:rPr>
          <w:rFonts w:hAnsi="宋体"/>
          <w:snapToGrid w:val="0"/>
          <w:color w:val="auto"/>
          <w:spacing w:val="-16"/>
          <w:kern w:val="21"/>
        </w:rPr>
        <w:t>=</w:t>
      </w:r>
      <w:r>
        <w:rPr>
          <w:rFonts w:hAnsi="宋体"/>
          <w:snapToGrid w:val="0"/>
          <w:color w:val="auto"/>
          <w:spacing w:val="-6"/>
          <w:kern w:val="21"/>
        </w:rPr>
        <w:fldChar w:fldCharType="begin"/>
      </w:r>
      <w:r>
        <w:rPr>
          <w:rFonts w:hAnsi="宋体"/>
          <w:snapToGrid w:val="0"/>
          <w:color w:val="auto"/>
          <w:spacing w:val="-6"/>
          <w:kern w:val="21"/>
        </w:rPr>
        <w:instrText xml:space="preserve"> = 1 \* GB3 \* MERGEFORMAT </w:instrText>
      </w:r>
      <w:r>
        <w:rPr>
          <w:rFonts w:hAnsi="宋体"/>
          <w:snapToGrid w:val="0"/>
          <w:color w:val="auto"/>
          <w:spacing w:val="-6"/>
          <w:kern w:val="21"/>
        </w:rPr>
        <w:fldChar w:fldCharType="separate"/>
      </w:r>
      <w:r>
        <w:rPr>
          <w:rFonts w:hint="eastAsia" w:hAnsi="宋体"/>
          <w:color w:val="auto"/>
        </w:rPr>
        <w:t>①</w:t>
      </w:r>
      <w:r>
        <w:rPr>
          <w:rFonts w:hAnsi="宋体"/>
          <w:snapToGrid w:val="0"/>
          <w:color w:val="auto"/>
          <w:spacing w:val="-6"/>
          <w:kern w:val="21"/>
        </w:rPr>
        <w:fldChar w:fldCharType="end"/>
      </w:r>
      <w:r>
        <w:rPr>
          <w:rFonts w:hAnsi="宋体"/>
          <w:snapToGrid w:val="0"/>
          <w:color w:val="auto"/>
          <w:spacing w:val="-6"/>
          <w:kern w:val="21"/>
        </w:rPr>
        <w:t>+</w:t>
      </w:r>
      <w:r>
        <w:rPr>
          <w:rFonts w:hAnsi="宋体"/>
          <w:snapToGrid w:val="0"/>
          <w:color w:val="auto"/>
          <w:spacing w:val="-6"/>
          <w:kern w:val="21"/>
        </w:rPr>
        <w:fldChar w:fldCharType="begin"/>
      </w:r>
      <w:r>
        <w:rPr>
          <w:rFonts w:hAnsi="宋体"/>
          <w:snapToGrid w:val="0"/>
          <w:color w:val="auto"/>
          <w:spacing w:val="-6"/>
          <w:kern w:val="21"/>
        </w:rPr>
        <w:instrText xml:space="preserve"> = 3 \* GB3 \* MERGEFORMAT </w:instrText>
      </w:r>
      <w:r>
        <w:rPr>
          <w:rFonts w:hAnsi="宋体"/>
          <w:snapToGrid w:val="0"/>
          <w:color w:val="auto"/>
          <w:spacing w:val="-6"/>
          <w:kern w:val="21"/>
        </w:rPr>
        <w:fldChar w:fldCharType="separate"/>
      </w:r>
      <w:r>
        <w:rPr>
          <w:rFonts w:hint="eastAsia" w:hAnsi="宋体"/>
          <w:color w:val="auto"/>
        </w:rPr>
        <w:t>③</w:t>
      </w:r>
      <w:r>
        <w:rPr>
          <w:rFonts w:hAnsi="宋体"/>
          <w:snapToGrid w:val="0"/>
          <w:color w:val="auto"/>
          <w:spacing w:val="-6"/>
          <w:kern w:val="21"/>
        </w:rPr>
        <w:fldChar w:fldCharType="end"/>
      </w:r>
      <w:r>
        <w:rPr>
          <w:rFonts w:hAnsi="宋体"/>
          <w:snapToGrid w:val="0"/>
          <w:color w:val="auto"/>
          <w:spacing w:val="-6"/>
          <w:kern w:val="21"/>
        </w:rPr>
        <w:t>+</w:t>
      </w:r>
      <w:r>
        <w:rPr>
          <w:rFonts w:hAnsi="宋体"/>
          <w:snapToGrid w:val="0"/>
          <w:color w:val="auto"/>
          <w:spacing w:val="-6"/>
          <w:kern w:val="21"/>
        </w:rPr>
        <w:fldChar w:fldCharType="begin"/>
      </w:r>
      <w:r>
        <w:rPr>
          <w:rFonts w:hAnsi="宋体"/>
          <w:snapToGrid w:val="0"/>
          <w:color w:val="auto"/>
          <w:spacing w:val="-6"/>
          <w:kern w:val="21"/>
        </w:rPr>
        <w:instrText xml:space="preserve"> = 4 \* GB3 \* MERGEFORMAT </w:instrText>
      </w:r>
      <w:r>
        <w:rPr>
          <w:rFonts w:hAnsi="宋体"/>
          <w:snapToGrid w:val="0"/>
          <w:color w:val="auto"/>
          <w:spacing w:val="-6"/>
          <w:kern w:val="21"/>
        </w:rPr>
        <w:fldChar w:fldCharType="separate"/>
      </w:r>
      <w:r>
        <w:rPr>
          <w:rFonts w:hint="eastAsia" w:hAnsi="宋体"/>
          <w:color w:val="auto"/>
        </w:rPr>
        <w:t>④</w:t>
      </w:r>
      <w:r>
        <w:rPr>
          <w:rFonts w:hAnsi="宋体"/>
          <w:snapToGrid w:val="0"/>
          <w:color w:val="auto"/>
          <w:spacing w:val="-6"/>
          <w:kern w:val="21"/>
        </w:rPr>
        <w:fldChar w:fldCharType="end"/>
      </w:r>
      <w:r>
        <w:rPr>
          <w:rFonts w:hAnsi="宋体"/>
          <w:snapToGrid w:val="0"/>
          <w:color w:val="auto"/>
          <w:spacing w:val="-6"/>
          <w:kern w:val="21"/>
        </w:rPr>
        <w:t>-</w:t>
      </w:r>
      <w:r>
        <w:rPr>
          <w:rFonts w:hAnsi="宋体"/>
          <w:snapToGrid w:val="0"/>
          <w:color w:val="auto"/>
          <w:spacing w:val="-16"/>
          <w:kern w:val="21"/>
        </w:rPr>
        <w:fldChar w:fldCharType="begin"/>
      </w:r>
      <w:r>
        <w:rPr>
          <w:rFonts w:hAnsi="宋体"/>
          <w:snapToGrid w:val="0"/>
          <w:color w:val="auto"/>
          <w:spacing w:val="-16"/>
          <w:kern w:val="21"/>
        </w:rPr>
        <w:instrText xml:space="preserve"> = 5 \* GB3 \* MERGEFORMAT </w:instrText>
      </w:r>
      <w:r>
        <w:rPr>
          <w:rFonts w:hAnsi="宋体"/>
          <w:snapToGrid w:val="0"/>
          <w:color w:val="auto"/>
          <w:spacing w:val="-16"/>
          <w:kern w:val="21"/>
        </w:rPr>
        <w:fldChar w:fldCharType="separate"/>
      </w:r>
      <w:r>
        <w:rPr>
          <w:rFonts w:hint="eastAsia" w:hAnsi="宋体"/>
          <w:color w:val="auto"/>
        </w:rPr>
        <w:t>⑤</w:t>
      </w:r>
      <w:r>
        <w:rPr>
          <w:rFonts w:hAnsi="宋体"/>
          <w:snapToGrid w:val="0"/>
          <w:color w:val="auto"/>
          <w:spacing w:val="-16"/>
          <w:kern w:val="21"/>
        </w:rPr>
        <w:fldChar w:fldCharType="end"/>
      </w:r>
      <w:r>
        <w:rPr>
          <w:rFonts w:hAnsi="宋体"/>
          <w:snapToGrid w:val="0"/>
          <w:color w:val="auto"/>
          <w:spacing w:val="-16"/>
          <w:kern w:val="21"/>
        </w:rPr>
        <w:t>；</w:t>
      </w:r>
      <w:r>
        <w:rPr>
          <w:rFonts w:hAnsi="宋体"/>
          <w:snapToGrid w:val="0"/>
          <w:color w:val="auto"/>
          <w:spacing w:val="-6"/>
          <w:kern w:val="21"/>
        </w:rPr>
        <w:fldChar w:fldCharType="begin"/>
      </w:r>
      <w:r>
        <w:rPr>
          <w:rFonts w:hAnsi="宋体"/>
          <w:snapToGrid w:val="0"/>
          <w:color w:val="auto"/>
          <w:spacing w:val="-6"/>
          <w:kern w:val="21"/>
        </w:rPr>
        <w:instrText xml:space="preserve"> = 7 \* GB3 \* MERGEFORMAT </w:instrText>
      </w:r>
      <w:r>
        <w:rPr>
          <w:rFonts w:hAnsi="宋体"/>
          <w:snapToGrid w:val="0"/>
          <w:color w:val="auto"/>
          <w:spacing w:val="-6"/>
          <w:kern w:val="21"/>
        </w:rPr>
        <w:fldChar w:fldCharType="separate"/>
      </w:r>
      <w:r>
        <w:rPr>
          <w:rFonts w:hint="eastAsia" w:hAnsi="宋体"/>
          <w:color w:val="auto"/>
        </w:rPr>
        <w:t>⑦</w:t>
      </w:r>
      <w:r>
        <w:rPr>
          <w:rFonts w:hAnsi="宋体"/>
          <w:snapToGrid w:val="0"/>
          <w:color w:val="auto"/>
          <w:spacing w:val="-6"/>
          <w:kern w:val="21"/>
        </w:rPr>
        <w:fldChar w:fldCharType="end"/>
      </w:r>
      <w:r>
        <w:rPr>
          <w:rFonts w:hAnsi="宋体"/>
          <w:snapToGrid w:val="0"/>
          <w:color w:val="auto"/>
          <w:spacing w:val="-6"/>
          <w:kern w:val="21"/>
        </w:rPr>
        <w:t>=</w:t>
      </w:r>
      <w:r>
        <w:rPr>
          <w:rFonts w:hAnsi="宋体"/>
          <w:snapToGrid w:val="0"/>
          <w:color w:val="auto"/>
          <w:spacing w:val="-16"/>
          <w:kern w:val="21"/>
        </w:rPr>
        <w:fldChar w:fldCharType="begin"/>
      </w:r>
      <w:r>
        <w:rPr>
          <w:rFonts w:hAnsi="宋体"/>
          <w:snapToGrid w:val="0"/>
          <w:color w:val="auto"/>
          <w:spacing w:val="-16"/>
          <w:kern w:val="21"/>
        </w:rPr>
        <w:instrText xml:space="preserve"> = 6 \* GB3 \* MERGEFORMAT </w:instrText>
      </w:r>
      <w:r>
        <w:rPr>
          <w:rFonts w:hAnsi="宋体"/>
          <w:snapToGrid w:val="0"/>
          <w:color w:val="auto"/>
          <w:spacing w:val="-16"/>
          <w:kern w:val="21"/>
        </w:rPr>
        <w:fldChar w:fldCharType="separate"/>
      </w:r>
      <w:r>
        <w:rPr>
          <w:rFonts w:hint="eastAsia" w:hAnsi="宋体"/>
          <w:color w:val="auto"/>
        </w:rPr>
        <w:t>⑥</w:t>
      </w:r>
      <w:r>
        <w:rPr>
          <w:rFonts w:hAnsi="宋体"/>
          <w:snapToGrid w:val="0"/>
          <w:color w:val="auto"/>
          <w:spacing w:val="-16"/>
          <w:kern w:val="21"/>
        </w:rPr>
        <w:fldChar w:fldCharType="end"/>
      </w:r>
    </w:p>
    <w:p>
      <w:pPr>
        <w:spacing w:line="258" w:lineRule="auto"/>
        <w:ind w:firstLine="420"/>
        <w:rPr>
          <w:rFonts w:ascii="Arial"/>
          <w:color w:val="auto"/>
          <w:sz w:val="21"/>
        </w:rPr>
      </w:pPr>
    </w:p>
    <w:p>
      <w:pPr>
        <w:spacing w:line="258" w:lineRule="auto"/>
        <w:ind w:firstLine="420"/>
        <w:rPr>
          <w:rFonts w:ascii="Arial"/>
          <w:color w:val="auto"/>
          <w:sz w:val="21"/>
        </w:rPr>
      </w:pPr>
    </w:p>
    <w:p>
      <w:pPr>
        <w:spacing w:line="258" w:lineRule="auto"/>
        <w:ind w:firstLine="420"/>
        <w:rPr>
          <w:rFonts w:ascii="Arial"/>
          <w:color w:val="auto"/>
          <w:sz w:val="21"/>
        </w:rPr>
      </w:pPr>
    </w:p>
    <w:p>
      <w:pPr>
        <w:spacing w:line="258" w:lineRule="auto"/>
        <w:ind w:firstLine="420"/>
        <w:rPr>
          <w:rFonts w:ascii="Arial"/>
          <w:color w:val="auto"/>
          <w:sz w:val="21"/>
        </w:rPr>
      </w:pPr>
    </w:p>
    <w:p>
      <w:pPr>
        <w:spacing w:line="258" w:lineRule="auto"/>
        <w:ind w:firstLine="420"/>
        <w:rPr>
          <w:rFonts w:ascii="Arial"/>
          <w:color w:val="auto"/>
          <w:sz w:val="21"/>
        </w:rPr>
      </w:pPr>
    </w:p>
    <w:p>
      <w:pPr>
        <w:spacing w:line="258" w:lineRule="auto"/>
        <w:ind w:firstLine="420"/>
        <w:rPr>
          <w:rFonts w:ascii="Arial"/>
          <w:color w:val="auto"/>
          <w:sz w:val="21"/>
        </w:rPr>
      </w:pPr>
    </w:p>
    <w:p>
      <w:pPr>
        <w:spacing w:line="258" w:lineRule="auto"/>
        <w:ind w:firstLine="420"/>
        <w:rPr>
          <w:rFonts w:ascii="Arial"/>
          <w:color w:val="auto"/>
          <w:sz w:val="21"/>
        </w:rPr>
      </w:pPr>
    </w:p>
    <w:p>
      <w:pPr>
        <w:spacing w:line="258" w:lineRule="auto"/>
        <w:ind w:firstLine="420"/>
        <w:rPr>
          <w:rFonts w:ascii="Arial"/>
          <w:color w:val="auto"/>
          <w:sz w:val="21"/>
        </w:rPr>
      </w:pPr>
    </w:p>
    <w:p>
      <w:pPr>
        <w:spacing w:line="258" w:lineRule="auto"/>
        <w:ind w:firstLine="420"/>
        <w:rPr>
          <w:rFonts w:ascii="Arial"/>
          <w:color w:val="auto"/>
          <w:sz w:val="21"/>
        </w:rPr>
      </w:pPr>
    </w:p>
    <w:p>
      <w:pPr>
        <w:spacing w:line="258" w:lineRule="auto"/>
        <w:ind w:firstLine="420"/>
        <w:rPr>
          <w:rFonts w:ascii="Arial"/>
          <w:color w:val="auto"/>
          <w:sz w:val="21"/>
        </w:rPr>
      </w:pPr>
    </w:p>
    <w:p>
      <w:pPr>
        <w:spacing w:line="258" w:lineRule="auto"/>
        <w:ind w:firstLine="420"/>
        <w:rPr>
          <w:rFonts w:ascii="Arial"/>
          <w:color w:val="auto"/>
          <w:sz w:val="21"/>
        </w:rPr>
      </w:pPr>
    </w:p>
    <w:p>
      <w:pPr>
        <w:spacing w:line="284" w:lineRule="auto"/>
        <w:ind w:firstLine="0" w:firstLineChars="0"/>
        <w:jc w:val="center"/>
        <w:rPr>
          <w:b/>
          <w:bCs/>
          <w:color w:val="auto"/>
          <w:spacing w:val="-4"/>
          <w:sz w:val="44"/>
          <w:szCs w:val="44"/>
        </w:rPr>
      </w:pPr>
      <w:r>
        <w:rPr>
          <w:rFonts w:hint="eastAsia"/>
          <w:b/>
          <w:bCs/>
          <w:color w:val="auto"/>
          <w:spacing w:val="-4"/>
          <w:sz w:val="44"/>
          <w:szCs w:val="44"/>
        </w:rPr>
        <w:t>同德县荣荣混凝土有限公司</w:t>
      </w:r>
    </w:p>
    <w:p>
      <w:pPr>
        <w:spacing w:line="284" w:lineRule="auto"/>
        <w:ind w:firstLine="0" w:firstLineChars="0"/>
        <w:jc w:val="center"/>
        <w:rPr>
          <w:rFonts w:ascii="Arial"/>
          <w:color w:val="auto"/>
          <w:sz w:val="21"/>
        </w:rPr>
      </w:pPr>
      <w:r>
        <w:rPr>
          <w:rFonts w:hint="eastAsia"/>
          <w:b/>
          <w:bCs/>
          <w:color w:val="auto"/>
          <w:spacing w:val="-4"/>
          <w:sz w:val="44"/>
          <w:szCs w:val="44"/>
        </w:rPr>
        <w:t>年产 10万方商品混凝土及 3万吨新型环保沥青路面混凝土搅拌站</w:t>
      </w:r>
    </w:p>
    <w:p>
      <w:pPr>
        <w:spacing w:line="284" w:lineRule="auto"/>
        <w:ind w:firstLine="420"/>
        <w:rPr>
          <w:rFonts w:ascii="Arial"/>
          <w:color w:val="auto"/>
          <w:sz w:val="21"/>
        </w:rPr>
      </w:pPr>
    </w:p>
    <w:p>
      <w:pPr>
        <w:spacing w:line="284" w:lineRule="auto"/>
        <w:ind w:firstLine="420"/>
        <w:rPr>
          <w:rFonts w:ascii="Arial"/>
          <w:color w:val="auto"/>
          <w:sz w:val="21"/>
        </w:rPr>
      </w:pPr>
    </w:p>
    <w:p>
      <w:pPr>
        <w:spacing w:line="284" w:lineRule="auto"/>
        <w:ind w:firstLine="420"/>
        <w:rPr>
          <w:rFonts w:ascii="Arial"/>
          <w:color w:val="auto"/>
          <w:sz w:val="21"/>
        </w:rPr>
      </w:pPr>
    </w:p>
    <w:p>
      <w:pPr>
        <w:pStyle w:val="2"/>
        <w:spacing w:before="273" w:line="221" w:lineRule="auto"/>
        <w:ind w:firstLine="0" w:firstLineChars="0"/>
        <w:jc w:val="center"/>
        <w:outlineLvl w:val="0"/>
        <w:rPr>
          <w:color w:val="auto"/>
          <w:sz w:val="84"/>
          <w:szCs w:val="84"/>
        </w:rPr>
      </w:pPr>
      <w:r>
        <w:rPr>
          <w:b/>
          <w:bCs/>
          <w:color w:val="auto"/>
          <w:spacing w:val="-16"/>
          <w:sz w:val="84"/>
          <w:szCs w:val="84"/>
        </w:rPr>
        <w:t>大气专项分析</w:t>
      </w:r>
    </w:p>
    <w:p>
      <w:pPr>
        <w:spacing w:line="246" w:lineRule="auto"/>
        <w:ind w:firstLine="420"/>
        <w:rPr>
          <w:rFonts w:ascii="Arial"/>
          <w:color w:val="auto"/>
          <w:sz w:val="21"/>
        </w:rPr>
      </w:pPr>
    </w:p>
    <w:p>
      <w:pPr>
        <w:spacing w:line="246" w:lineRule="auto"/>
        <w:ind w:firstLine="420"/>
        <w:rPr>
          <w:rFonts w:ascii="Arial"/>
          <w:color w:val="auto"/>
          <w:sz w:val="21"/>
        </w:rPr>
      </w:pPr>
    </w:p>
    <w:p>
      <w:pPr>
        <w:spacing w:line="246" w:lineRule="auto"/>
        <w:ind w:firstLine="420"/>
        <w:rPr>
          <w:rFonts w:ascii="Arial"/>
          <w:color w:val="auto"/>
          <w:sz w:val="21"/>
        </w:rPr>
      </w:pPr>
    </w:p>
    <w:p>
      <w:pPr>
        <w:spacing w:line="247" w:lineRule="auto"/>
        <w:ind w:firstLine="420"/>
        <w:rPr>
          <w:rFonts w:ascii="Arial"/>
          <w:color w:val="auto"/>
          <w:sz w:val="21"/>
        </w:rPr>
      </w:pPr>
    </w:p>
    <w:p>
      <w:pPr>
        <w:spacing w:line="247" w:lineRule="auto"/>
        <w:ind w:firstLine="420"/>
        <w:rPr>
          <w:rFonts w:ascii="Arial"/>
          <w:color w:val="auto"/>
          <w:sz w:val="21"/>
        </w:rPr>
      </w:pPr>
    </w:p>
    <w:p>
      <w:pPr>
        <w:spacing w:line="247" w:lineRule="auto"/>
        <w:ind w:firstLine="420"/>
        <w:rPr>
          <w:rFonts w:ascii="Arial"/>
          <w:color w:val="auto"/>
          <w:sz w:val="21"/>
        </w:rPr>
      </w:pPr>
    </w:p>
    <w:p>
      <w:pPr>
        <w:spacing w:line="247" w:lineRule="auto"/>
        <w:ind w:firstLine="420"/>
        <w:rPr>
          <w:rFonts w:ascii="Arial"/>
          <w:color w:val="auto"/>
          <w:sz w:val="21"/>
        </w:rPr>
      </w:pPr>
    </w:p>
    <w:p>
      <w:pPr>
        <w:spacing w:line="247" w:lineRule="auto"/>
        <w:ind w:firstLine="420"/>
        <w:rPr>
          <w:rFonts w:ascii="Arial"/>
          <w:color w:val="auto"/>
          <w:sz w:val="21"/>
        </w:rPr>
      </w:pPr>
    </w:p>
    <w:p>
      <w:pPr>
        <w:spacing w:line="247" w:lineRule="auto"/>
        <w:ind w:firstLine="420"/>
        <w:rPr>
          <w:rFonts w:ascii="Arial"/>
          <w:color w:val="auto"/>
          <w:sz w:val="21"/>
        </w:rPr>
      </w:pPr>
    </w:p>
    <w:p>
      <w:pPr>
        <w:spacing w:line="247" w:lineRule="auto"/>
        <w:ind w:firstLine="420"/>
        <w:rPr>
          <w:rFonts w:ascii="Arial"/>
          <w:color w:val="auto"/>
          <w:sz w:val="21"/>
        </w:rPr>
      </w:pPr>
    </w:p>
    <w:p>
      <w:pPr>
        <w:spacing w:line="247" w:lineRule="auto"/>
        <w:ind w:firstLine="420"/>
        <w:rPr>
          <w:rFonts w:ascii="Arial"/>
          <w:color w:val="auto"/>
          <w:sz w:val="21"/>
        </w:rPr>
      </w:pPr>
    </w:p>
    <w:p>
      <w:pPr>
        <w:spacing w:line="247" w:lineRule="auto"/>
        <w:ind w:firstLine="420"/>
        <w:rPr>
          <w:rFonts w:ascii="Arial"/>
          <w:color w:val="auto"/>
          <w:sz w:val="21"/>
        </w:rPr>
      </w:pPr>
    </w:p>
    <w:p>
      <w:pPr>
        <w:spacing w:line="247" w:lineRule="auto"/>
        <w:ind w:firstLine="420"/>
        <w:rPr>
          <w:rFonts w:ascii="Arial"/>
          <w:color w:val="auto"/>
          <w:sz w:val="21"/>
        </w:rPr>
      </w:pPr>
    </w:p>
    <w:p>
      <w:pPr>
        <w:spacing w:line="247" w:lineRule="auto"/>
        <w:ind w:firstLine="420"/>
        <w:rPr>
          <w:rFonts w:ascii="Arial"/>
          <w:color w:val="auto"/>
          <w:sz w:val="21"/>
        </w:rPr>
      </w:pPr>
    </w:p>
    <w:p>
      <w:pPr>
        <w:spacing w:line="247" w:lineRule="auto"/>
        <w:ind w:firstLine="420"/>
        <w:rPr>
          <w:rFonts w:ascii="Arial"/>
          <w:color w:val="auto"/>
          <w:sz w:val="21"/>
        </w:rPr>
      </w:pPr>
    </w:p>
    <w:p>
      <w:pPr>
        <w:spacing w:line="247" w:lineRule="auto"/>
        <w:ind w:firstLine="420"/>
        <w:rPr>
          <w:rFonts w:ascii="Arial"/>
          <w:color w:val="auto"/>
          <w:sz w:val="21"/>
        </w:rPr>
      </w:pPr>
    </w:p>
    <w:p>
      <w:pPr>
        <w:spacing w:line="247" w:lineRule="auto"/>
        <w:ind w:firstLine="420"/>
        <w:rPr>
          <w:rFonts w:ascii="Arial"/>
          <w:color w:val="auto"/>
          <w:sz w:val="21"/>
        </w:rPr>
      </w:pPr>
    </w:p>
    <w:p>
      <w:pPr>
        <w:spacing w:line="247" w:lineRule="auto"/>
        <w:ind w:firstLine="420"/>
        <w:rPr>
          <w:rFonts w:ascii="Arial"/>
          <w:color w:val="auto"/>
          <w:sz w:val="21"/>
        </w:rPr>
      </w:pPr>
    </w:p>
    <w:p>
      <w:pPr>
        <w:spacing w:line="247" w:lineRule="auto"/>
        <w:ind w:firstLine="420"/>
        <w:rPr>
          <w:rFonts w:ascii="Arial"/>
          <w:color w:val="auto"/>
          <w:sz w:val="21"/>
        </w:rPr>
      </w:pPr>
    </w:p>
    <w:p>
      <w:pPr>
        <w:pStyle w:val="2"/>
        <w:spacing w:before="100" w:line="296" w:lineRule="auto"/>
        <w:ind w:right="1449" w:firstLine="623"/>
        <w:rPr>
          <w:b/>
          <w:bCs/>
          <w:color w:val="auto"/>
          <w:spacing w:val="-5"/>
          <w:sz w:val="32"/>
          <w:szCs w:val="32"/>
        </w:rPr>
      </w:pPr>
    </w:p>
    <w:p>
      <w:pPr>
        <w:pStyle w:val="2"/>
        <w:spacing w:before="100" w:line="296" w:lineRule="auto"/>
        <w:ind w:right="1449" w:firstLine="623"/>
        <w:jc w:val="center"/>
        <w:rPr>
          <w:color w:val="auto"/>
          <w:sz w:val="32"/>
          <w:szCs w:val="32"/>
        </w:rPr>
      </w:pPr>
      <w:r>
        <w:rPr>
          <w:b/>
          <w:bCs/>
          <w:color w:val="auto"/>
          <w:spacing w:val="-5"/>
          <w:sz w:val="32"/>
          <w:szCs w:val="32"/>
        </w:rPr>
        <w:t>202</w:t>
      </w:r>
      <w:r>
        <w:rPr>
          <w:rFonts w:hint="eastAsia"/>
          <w:b/>
          <w:bCs/>
          <w:color w:val="auto"/>
          <w:spacing w:val="-5"/>
          <w:sz w:val="32"/>
          <w:szCs w:val="32"/>
        </w:rPr>
        <w:t>5</w:t>
      </w:r>
      <w:r>
        <w:rPr>
          <w:color w:val="auto"/>
          <w:spacing w:val="-62"/>
          <w:sz w:val="32"/>
          <w:szCs w:val="32"/>
        </w:rPr>
        <w:t xml:space="preserve"> </w:t>
      </w:r>
      <w:r>
        <w:rPr>
          <w:b/>
          <w:bCs/>
          <w:color w:val="auto"/>
          <w:spacing w:val="-5"/>
          <w:sz w:val="32"/>
          <w:szCs w:val="32"/>
        </w:rPr>
        <w:t>年</w:t>
      </w:r>
      <w:r>
        <w:rPr>
          <w:color w:val="auto"/>
          <w:spacing w:val="-59"/>
          <w:sz w:val="32"/>
          <w:szCs w:val="32"/>
        </w:rPr>
        <w:t xml:space="preserve"> </w:t>
      </w:r>
      <w:r>
        <w:rPr>
          <w:rFonts w:hint="eastAsia"/>
          <w:b/>
          <w:bCs/>
          <w:color w:val="auto"/>
          <w:spacing w:val="-5"/>
          <w:sz w:val="32"/>
          <w:szCs w:val="32"/>
        </w:rPr>
        <w:t>5</w:t>
      </w:r>
      <w:r>
        <w:rPr>
          <w:b/>
          <w:bCs/>
          <w:color w:val="auto"/>
          <w:spacing w:val="-5"/>
          <w:sz w:val="32"/>
          <w:szCs w:val="32"/>
        </w:rPr>
        <w:t>月</w:t>
      </w:r>
    </w:p>
    <w:p>
      <w:pPr>
        <w:spacing w:line="296" w:lineRule="auto"/>
        <w:ind w:firstLine="480"/>
        <w:rPr>
          <w:color w:val="auto"/>
        </w:rPr>
        <w:sectPr>
          <w:footerReference r:id="rId13" w:type="default"/>
          <w:pgSz w:w="11907" w:h="16839"/>
          <w:pgMar w:top="1440" w:right="1800" w:bottom="1440" w:left="1800" w:header="0" w:footer="0" w:gutter="0"/>
          <w:pgBorders>
            <w:top w:val="none" w:sz="0" w:space="0"/>
            <w:left w:val="none" w:sz="0" w:space="0"/>
            <w:bottom w:val="none" w:sz="0" w:space="0"/>
            <w:right w:val="none" w:sz="0" w:space="0"/>
          </w:pgBorders>
          <w:pgNumType w:start="77"/>
          <w:cols w:space="720" w:num="1"/>
        </w:sectPr>
      </w:pPr>
    </w:p>
    <w:p>
      <w:pPr>
        <w:pStyle w:val="4"/>
        <w:rPr>
          <w:color w:val="auto"/>
        </w:rPr>
      </w:pPr>
      <w:r>
        <w:rPr>
          <w:rFonts w:hint="eastAsia"/>
          <w:color w:val="auto"/>
        </w:rPr>
        <w:t>1 总则</w:t>
      </w:r>
    </w:p>
    <w:p>
      <w:pPr>
        <w:pStyle w:val="5"/>
        <w:tabs>
          <w:tab w:val="left" w:pos="3949"/>
        </w:tabs>
        <w:ind w:firstLine="281"/>
        <w:rPr>
          <w:color w:val="auto"/>
        </w:rPr>
      </w:pPr>
      <w:r>
        <w:rPr>
          <w:rFonts w:hint="eastAsia"/>
          <w:color w:val="auto"/>
        </w:rPr>
        <w:t>1.1 编制目的</w:t>
      </w:r>
    </w:p>
    <w:p>
      <w:pPr>
        <w:ind w:firstLine="480"/>
        <w:rPr>
          <w:color w:val="auto"/>
        </w:rPr>
      </w:pPr>
      <w:r>
        <w:rPr>
          <w:rFonts w:hint="eastAsia"/>
          <w:color w:val="auto"/>
        </w:rPr>
        <w:t>根据《建设项目环境影响报告表编制技术指南》（污染影响类）（试行），同德县荣荣混凝土有限公司年产 10万方商品混凝土及 3万吨新型环保沥青路面混凝土搅拌站属于排放废气含有毒有害污染物苯并[a]芘且厂界外 500 米范围内有环境空气保护目标的建设项目，应当编制大气环境影响专项评价。</w:t>
      </w:r>
    </w:p>
    <w:p>
      <w:pPr>
        <w:ind w:firstLine="480"/>
        <w:rPr>
          <w:color w:val="auto"/>
        </w:rPr>
      </w:pPr>
      <w:r>
        <w:rPr>
          <w:rFonts w:hint="eastAsia"/>
          <w:color w:val="auto"/>
        </w:rPr>
        <w:t>本专项分析评价的编制，旨在进一步分析说明项目环境影响报告表中所不能详尽说明的项目的大气污染源产生、大气污染污染防治措施及其效果、污染物排放情况以及对环境的影响问题，为环境保护行政主管部门的决策提供科学依据。</w:t>
      </w:r>
    </w:p>
    <w:p>
      <w:pPr>
        <w:pStyle w:val="5"/>
        <w:tabs>
          <w:tab w:val="left" w:pos="3949"/>
        </w:tabs>
        <w:ind w:firstLine="281"/>
        <w:rPr>
          <w:color w:val="auto"/>
        </w:rPr>
      </w:pPr>
      <w:r>
        <w:rPr>
          <w:rFonts w:hint="eastAsia"/>
          <w:color w:val="auto"/>
        </w:rPr>
        <w:t>1.2 编制依据</w:t>
      </w:r>
    </w:p>
    <w:p>
      <w:pPr>
        <w:pStyle w:val="6"/>
        <w:ind w:firstLine="482"/>
        <w:rPr>
          <w:color w:val="auto"/>
        </w:rPr>
      </w:pPr>
      <w:r>
        <w:rPr>
          <w:color w:val="auto"/>
        </w:rPr>
        <w:t>1.2.1 法律法规</w:t>
      </w:r>
    </w:p>
    <w:p>
      <w:pPr>
        <w:ind w:firstLine="460"/>
        <w:jc w:val="left"/>
        <w:rPr>
          <w:rFonts w:hint="eastAsia" w:ascii="宋体" w:hAnsi="宋体" w:cs="宋体"/>
          <w:color w:val="auto"/>
        </w:rPr>
      </w:pPr>
      <w:r>
        <w:rPr>
          <w:rFonts w:ascii="宋体" w:hAnsi="宋体" w:cs="宋体"/>
          <w:color w:val="auto"/>
          <w:spacing w:val="-5"/>
        </w:rPr>
        <w:t>（</w:t>
      </w:r>
      <w:r>
        <w:rPr>
          <w:rFonts w:eastAsia="Times New Roman"/>
          <w:color w:val="auto"/>
          <w:spacing w:val="-5"/>
        </w:rPr>
        <w:t>1</w:t>
      </w:r>
      <w:r>
        <w:rPr>
          <w:rFonts w:ascii="宋体" w:hAnsi="宋体" w:cs="宋体"/>
          <w:color w:val="auto"/>
          <w:spacing w:val="-5"/>
        </w:rPr>
        <w:t>）《中华人民共和国环境保护法》（</w:t>
      </w:r>
      <w:r>
        <w:rPr>
          <w:rFonts w:eastAsia="Times New Roman"/>
          <w:color w:val="auto"/>
          <w:spacing w:val="-5"/>
        </w:rPr>
        <w:t xml:space="preserve">2015 </w:t>
      </w:r>
      <w:r>
        <w:rPr>
          <w:rFonts w:ascii="宋体" w:hAnsi="宋体" w:cs="宋体"/>
          <w:color w:val="auto"/>
          <w:spacing w:val="-5"/>
        </w:rPr>
        <w:t>年</w:t>
      </w:r>
      <w:r>
        <w:rPr>
          <w:rFonts w:ascii="宋体" w:hAnsi="宋体" w:cs="宋体"/>
          <w:color w:val="auto"/>
          <w:spacing w:val="-32"/>
        </w:rPr>
        <w:t xml:space="preserve"> </w:t>
      </w:r>
      <w:r>
        <w:rPr>
          <w:rFonts w:eastAsia="Times New Roman"/>
          <w:color w:val="auto"/>
          <w:spacing w:val="-5"/>
        </w:rPr>
        <w:t>1</w:t>
      </w:r>
      <w:r>
        <w:rPr>
          <w:rFonts w:eastAsia="Times New Roman"/>
          <w:color w:val="auto"/>
          <w:spacing w:val="16"/>
        </w:rPr>
        <w:t xml:space="preserve"> </w:t>
      </w:r>
      <w:r>
        <w:rPr>
          <w:rFonts w:ascii="宋体" w:hAnsi="宋体" w:cs="宋体"/>
          <w:color w:val="auto"/>
          <w:spacing w:val="-5"/>
        </w:rPr>
        <w:t>月</w:t>
      </w:r>
      <w:r>
        <w:rPr>
          <w:rFonts w:ascii="宋体" w:hAnsi="宋体" w:cs="宋体"/>
          <w:color w:val="auto"/>
          <w:spacing w:val="-32"/>
        </w:rPr>
        <w:t xml:space="preserve"> </w:t>
      </w:r>
      <w:r>
        <w:rPr>
          <w:rFonts w:eastAsia="Times New Roman"/>
          <w:color w:val="auto"/>
          <w:spacing w:val="-5"/>
        </w:rPr>
        <w:t xml:space="preserve">1  </w:t>
      </w:r>
      <w:r>
        <w:rPr>
          <w:rFonts w:ascii="宋体" w:hAnsi="宋体" w:cs="宋体"/>
          <w:color w:val="auto"/>
          <w:spacing w:val="-5"/>
        </w:rPr>
        <w:t>日实施</w:t>
      </w:r>
      <w:r>
        <w:rPr>
          <w:rFonts w:ascii="宋体" w:hAnsi="宋体" w:cs="宋体"/>
          <w:color w:val="auto"/>
          <w:spacing w:val="3"/>
        </w:rPr>
        <w:t>）；</w:t>
      </w:r>
    </w:p>
    <w:p>
      <w:pPr>
        <w:ind w:firstLine="464"/>
        <w:jc w:val="left"/>
        <w:rPr>
          <w:rFonts w:hint="eastAsia" w:ascii="宋体" w:hAnsi="宋体" w:cs="宋体"/>
          <w:color w:val="auto"/>
        </w:rPr>
      </w:pPr>
      <w:r>
        <w:rPr>
          <w:rFonts w:ascii="宋体" w:hAnsi="宋体" w:cs="宋体"/>
          <w:color w:val="auto"/>
          <w:spacing w:val="-4"/>
        </w:rPr>
        <w:t>（</w:t>
      </w:r>
      <w:r>
        <w:rPr>
          <w:rFonts w:eastAsia="Times New Roman"/>
          <w:color w:val="auto"/>
          <w:spacing w:val="-4"/>
        </w:rPr>
        <w:t>2</w:t>
      </w:r>
      <w:r>
        <w:rPr>
          <w:rFonts w:ascii="宋体" w:hAnsi="宋体" w:cs="宋体"/>
          <w:color w:val="auto"/>
          <w:spacing w:val="-4"/>
        </w:rPr>
        <w:t>）《中华人民共和国环境影响评价法》（</w:t>
      </w:r>
      <w:r>
        <w:rPr>
          <w:rFonts w:eastAsia="Times New Roman"/>
          <w:color w:val="auto"/>
          <w:spacing w:val="-4"/>
        </w:rPr>
        <w:t xml:space="preserve">2018 </w:t>
      </w:r>
      <w:r>
        <w:rPr>
          <w:rFonts w:ascii="宋体" w:hAnsi="宋体" w:cs="宋体"/>
          <w:color w:val="auto"/>
          <w:spacing w:val="-4"/>
        </w:rPr>
        <w:t>年</w:t>
      </w:r>
      <w:r>
        <w:rPr>
          <w:rFonts w:ascii="宋体" w:hAnsi="宋体" w:cs="宋体"/>
          <w:color w:val="auto"/>
          <w:spacing w:val="-31"/>
        </w:rPr>
        <w:t xml:space="preserve"> </w:t>
      </w:r>
      <w:r>
        <w:rPr>
          <w:rFonts w:eastAsia="Times New Roman"/>
          <w:color w:val="auto"/>
          <w:spacing w:val="-4"/>
        </w:rPr>
        <w:t>12</w:t>
      </w:r>
      <w:r>
        <w:rPr>
          <w:rFonts w:eastAsia="Times New Roman"/>
          <w:color w:val="auto"/>
          <w:spacing w:val="16"/>
        </w:rPr>
        <w:t xml:space="preserve"> </w:t>
      </w:r>
      <w:r>
        <w:rPr>
          <w:rFonts w:ascii="宋体" w:hAnsi="宋体" w:cs="宋体"/>
          <w:color w:val="auto"/>
          <w:spacing w:val="-4"/>
        </w:rPr>
        <w:t>月</w:t>
      </w:r>
      <w:r>
        <w:rPr>
          <w:rFonts w:ascii="宋体" w:hAnsi="宋体" w:cs="宋体"/>
          <w:color w:val="auto"/>
          <w:spacing w:val="-55"/>
        </w:rPr>
        <w:t xml:space="preserve"> </w:t>
      </w:r>
      <w:r>
        <w:rPr>
          <w:rFonts w:eastAsia="Times New Roman"/>
          <w:color w:val="auto"/>
          <w:spacing w:val="-4"/>
        </w:rPr>
        <w:t xml:space="preserve">29  </w:t>
      </w:r>
      <w:r>
        <w:rPr>
          <w:rFonts w:ascii="宋体" w:hAnsi="宋体" w:cs="宋体"/>
          <w:color w:val="auto"/>
          <w:spacing w:val="-4"/>
        </w:rPr>
        <w:t>日修订</w:t>
      </w:r>
      <w:r>
        <w:rPr>
          <w:rFonts w:ascii="宋体" w:hAnsi="宋体" w:cs="宋体"/>
          <w:color w:val="auto"/>
          <w:spacing w:val="6"/>
        </w:rPr>
        <w:t>）；</w:t>
      </w:r>
    </w:p>
    <w:p>
      <w:pPr>
        <w:ind w:firstLine="464"/>
        <w:jc w:val="left"/>
        <w:rPr>
          <w:rFonts w:hint="eastAsia" w:ascii="宋体" w:hAnsi="宋体" w:cs="宋体"/>
          <w:color w:val="auto"/>
        </w:rPr>
      </w:pPr>
      <w:r>
        <w:rPr>
          <w:rFonts w:ascii="宋体" w:hAnsi="宋体" w:cs="宋体"/>
          <w:color w:val="auto"/>
          <w:spacing w:val="-4"/>
        </w:rPr>
        <w:t>（</w:t>
      </w:r>
      <w:r>
        <w:rPr>
          <w:rFonts w:eastAsia="Times New Roman"/>
          <w:color w:val="auto"/>
          <w:spacing w:val="-4"/>
        </w:rPr>
        <w:t>3</w:t>
      </w:r>
      <w:r>
        <w:rPr>
          <w:rFonts w:ascii="宋体" w:hAnsi="宋体" w:cs="宋体"/>
          <w:color w:val="auto"/>
          <w:spacing w:val="-4"/>
        </w:rPr>
        <w:t>）《中华人民共和国大气污染防治法》（</w:t>
      </w:r>
      <w:r>
        <w:rPr>
          <w:rFonts w:eastAsia="Times New Roman"/>
          <w:color w:val="auto"/>
          <w:spacing w:val="-4"/>
        </w:rPr>
        <w:t xml:space="preserve">2018 </w:t>
      </w:r>
      <w:r>
        <w:rPr>
          <w:rFonts w:ascii="宋体" w:hAnsi="宋体" w:cs="宋体"/>
          <w:color w:val="auto"/>
          <w:spacing w:val="-4"/>
        </w:rPr>
        <w:t>年</w:t>
      </w:r>
      <w:r>
        <w:rPr>
          <w:rFonts w:ascii="宋体" w:hAnsi="宋体" w:cs="宋体"/>
          <w:color w:val="auto"/>
          <w:spacing w:val="-31"/>
        </w:rPr>
        <w:t xml:space="preserve"> </w:t>
      </w:r>
      <w:r>
        <w:rPr>
          <w:rFonts w:eastAsia="Times New Roman"/>
          <w:color w:val="auto"/>
          <w:spacing w:val="-4"/>
        </w:rPr>
        <w:t>10</w:t>
      </w:r>
      <w:r>
        <w:rPr>
          <w:rFonts w:eastAsia="Times New Roman"/>
          <w:color w:val="auto"/>
          <w:spacing w:val="16"/>
        </w:rPr>
        <w:t xml:space="preserve"> </w:t>
      </w:r>
      <w:r>
        <w:rPr>
          <w:rFonts w:ascii="宋体" w:hAnsi="宋体" w:cs="宋体"/>
          <w:color w:val="auto"/>
          <w:spacing w:val="-4"/>
        </w:rPr>
        <w:t>月</w:t>
      </w:r>
      <w:r>
        <w:rPr>
          <w:rFonts w:ascii="宋体" w:hAnsi="宋体" w:cs="宋体"/>
          <w:color w:val="auto"/>
          <w:spacing w:val="-55"/>
        </w:rPr>
        <w:t xml:space="preserve"> </w:t>
      </w:r>
      <w:r>
        <w:rPr>
          <w:rFonts w:eastAsia="Times New Roman"/>
          <w:color w:val="auto"/>
          <w:spacing w:val="-4"/>
        </w:rPr>
        <w:t xml:space="preserve">26  </w:t>
      </w:r>
      <w:r>
        <w:rPr>
          <w:rFonts w:ascii="宋体" w:hAnsi="宋体" w:cs="宋体"/>
          <w:color w:val="auto"/>
          <w:spacing w:val="-4"/>
        </w:rPr>
        <w:t>日实施</w:t>
      </w:r>
      <w:r>
        <w:rPr>
          <w:rFonts w:ascii="宋体" w:hAnsi="宋体" w:cs="宋体"/>
          <w:color w:val="auto"/>
          <w:spacing w:val="6"/>
        </w:rPr>
        <w:t>）；</w:t>
      </w:r>
    </w:p>
    <w:p>
      <w:pPr>
        <w:ind w:firstLine="460"/>
        <w:jc w:val="left"/>
        <w:rPr>
          <w:rFonts w:hint="eastAsia" w:ascii="宋体" w:hAnsi="宋体" w:cs="宋体"/>
          <w:color w:val="auto"/>
        </w:rPr>
      </w:pPr>
      <w:r>
        <w:rPr>
          <w:rFonts w:ascii="宋体" w:hAnsi="宋体" w:cs="宋体"/>
          <w:color w:val="auto"/>
          <w:spacing w:val="-5"/>
        </w:rPr>
        <w:t>（</w:t>
      </w:r>
      <w:r>
        <w:rPr>
          <w:rFonts w:eastAsia="Times New Roman"/>
          <w:color w:val="auto"/>
          <w:spacing w:val="-5"/>
        </w:rPr>
        <w:t>4</w:t>
      </w:r>
      <w:r>
        <w:rPr>
          <w:rFonts w:ascii="宋体" w:hAnsi="宋体" w:cs="宋体"/>
          <w:color w:val="auto"/>
          <w:spacing w:val="-5"/>
        </w:rPr>
        <w:t>）《建设项目环境保护管理条例》（</w:t>
      </w:r>
      <w:r>
        <w:rPr>
          <w:rFonts w:eastAsia="Times New Roman"/>
          <w:color w:val="auto"/>
          <w:spacing w:val="-5"/>
        </w:rPr>
        <w:t xml:space="preserve">2017 </w:t>
      </w:r>
      <w:r>
        <w:rPr>
          <w:rFonts w:ascii="宋体" w:hAnsi="宋体" w:cs="宋体"/>
          <w:color w:val="auto"/>
          <w:spacing w:val="-5"/>
        </w:rPr>
        <w:t>年</w:t>
      </w:r>
      <w:r>
        <w:rPr>
          <w:rFonts w:ascii="宋体" w:hAnsi="宋体" w:cs="宋体"/>
          <w:color w:val="auto"/>
          <w:spacing w:val="-31"/>
        </w:rPr>
        <w:t xml:space="preserve"> </w:t>
      </w:r>
      <w:r>
        <w:rPr>
          <w:rFonts w:eastAsia="Times New Roman"/>
          <w:color w:val="auto"/>
          <w:spacing w:val="-5"/>
        </w:rPr>
        <w:t>10</w:t>
      </w:r>
      <w:r>
        <w:rPr>
          <w:rFonts w:eastAsia="Times New Roman"/>
          <w:color w:val="auto"/>
          <w:spacing w:val="16"/>
        </w:rPr>
        <w:t xml:space="preserve"> </w:t>
      </w:r>
      <w:r>
        <w:rPr>
          <w:rFonts w:ascii="宋体" w:hAnsi="宋体" w:cs="宋体"/>
          <w:color w:val="auto"/>
          <w:spacing w:val="-5"/>
        </w:rPr>
        <w:t>月</w:t>
      </w:r>
      <w:r>
        <w:rPr>
          <w:rFonts w:ascii="宋体" w:hAnsi="宋体" w:cs="宋体"/>
          <w:color w:val="auto"/>
          <w:spacing w:val="-32"/>
        </w:rPr>
        <w:t xml:space="preserve"> </w:t>
      </w:r>
      <w:r>
        <w:rPr>
          <w:rFonts w:eastAsia="Times New Roman"/>
          <w:color w:val="auto"/>
          <w:spacing w:val="-5"/>
        </w:rPr>
        <w:t xml:space="preserve">1  </w:t>
      </w:r>
      <w:r>
        <w:rPr>
          <w:rFonts w:ascii="宋体" w:hAnsi="宋体" w:cs="宋体"/>
          <w:color w:val="auto"/>
          <w:spacing w:val="-5"/>
        </w:rPr>
        <w:t>日实施</w:t>
      </w:r>
      <w:r>
        <w:rPr>
          <w:rFonts w:ascii="宋体" w:hAnsi="宋体" w:cs="宋体"/>
          <w:color w:val="auto"/>
          <w:spacing w:val="5"/>
        </w:rPr>
        <w:t>）；</w:t>
      </w:r>
    </w:p>
    <w:p>
      <w:pPr>
        <w:ind w:firstLine="468"/>
        <w:jc w:val="left"/>
        <w:rPr>
          <w:rFonts w:hint="eastAsia" w:ascii="宋体" w:hAnsi="宋体" w:cs="宋体"/>
          <w:color w:val="auto"/>
        </w:rPr>
      </w:pPr>
      <w:r>
        <w:rPr>
          <w:rFonts w:ascii="宋体" w:hAnsi="宋体" w:cs="宋体"/>
          <w:color w:val="auto"/>
          <w:spacing w:val="-3"/>
          <w:position w:val="3"/>
        </w:rPr>
        <w:t>（</w:t>
      </w:r>
      <w:r>
        <w:rPr>
          <w:rFonts w:eastAsia="Times New Roman"/>
          <w:color w:val="auto"/>
          <w:spacing w:val="-3"/>
          <w:position w:val="3"/>
        </w:rPr>
        <w:t>5</w:t>
      </w:r>
      <w:r>
        <w:rPr>
          <w:rFonts w:ascii="宋体" w:hAnsi="宋体" w:cs="宋体"/>
          <w:color w:val="auto"/>
          <w:spacing w:val="-3"/>
          <w:position w:val="3"/>
        </w:rPr>
        <w:t>）《国务院</w:t>
      </w:r>
      <w:r>
        <w:rPr>
          <w:rFonts w:eastAsia="Times New Roman"/>
          <w:color w:val="auto"/>
          <w:spacing w:val="-3"/>
          <w:position w:val="3"/>
        </w:rPr>
        <w:t>&lt;</w:t>
      </w:r>
      <w:r>
        <w:rPr>
          <w:rFonts w:ascii="宋体" w:hAnsi="宋体" w:cs="宋体"/>
          <w:color w:val="auto"/>
          <w:spacing w:val="-3"/>
          <w:position w:val="3"/>
        </w:rPr>
        <w:t>关于印发大气污染防治行动计划</w:t>
      </w:r>
      <w:r>
        <w:rPr>
          <w:rFonts w:eastAsia="Times New Roman"/>
          <w:color w:val="auto"/>
          <w:spacing w:val="-3"/>
          <w:position w:val="3"/>
        </w:rPr>
        <w:t>&gt;</w:t>
      </w:r>
      <w:r>
        <w:rPr>
          <w:rFonts w:eastAsia="Times New Roman"/>
          <w:color w:val="auto"/>
          <w:spacing w:val="-29"/>
          <w:position w:val="3"/>
        </w:rPr>
        <w:t xml:space="preserve"> </w:t>
      </w:r>
      <w:r>
        <w:rPr>
          <w:rFonts w:ascii="宋体" w:hAnsi="宋体" w:cs="宋体"/>
          <w:color w:val="auto"/>
          <w:spacing w:val="-3"/>
          <w:position w:val="3"/>
        </w:rPr>
        <w:t>的通知》（国发</w:t>
      </w:r>
      <w:r>
        <w:rPr>
          <w:rFonts w:eastAsia="Times New Roman"/>
          <w:color w:val="auto"/>
          <w:spacing w:val="-3"/>
          <w:position w:val="3"/>
        </w:rPr>
        <w:t>[2013]37</w:t>
      </w:r>
      <w:r>
        <w:rPr>
          <w:rFonts w:eastAsia="Times New Roman"/>
          <w:color w:val="auto"/>
          <w:spacing w:val="15"/>
          <w:position w:val="3"/>
        </w:rPr>
        <w:t xml:space="preserve"> </w:t>
      </w:r>
      <w:r>
        <w:rPr>
          <w:rFonts w:ascii="宋体" w:hAnsi="宋体" w:cs="宋体"/>
          <w:color w:val="auto"/>
          <w:spacing w:val="-3"/>
          <w:position w:val="3"/>
        </w:rPr>
        <w:t>号</w:t>
      </w:r>
      <w:r>
        <w:rPr>
          <w:rFonts w:ascii="宋体" w:hAnsi="宋体" w:cs="宋体"/>
          <w:color w:val="auto"/>
          <w:spacing w:val="-29"/>
          <w:position w:val="3"/>
        </w:rPr>
        <w:t>）；</w:t>
      </w:r>
    </w:p>
    <w:p>
      <w:pPr>
        <w:ind w:right="59" w:firstLine="472"/>
        <w:jc w:val="left"/>
        <w:rPr>
          <w:rFonts w:hint="eastAsia" w:ascii="宋体" w:hAnsi="宋体" w:cs="宋体"/>
          <w:color w:val="auto"/>
        </w:rPr>
      </w:pPr>
      <w:r>
        <w:rPr>
          <w:rFonts w:ascii="宋体" w:hAnsi="宋体" w:cs="宋体"/>
          <w:color w:val="auto"/>
          <w:spacing w:val="-2"/>
        </w:rPr>
        <w:t>（</w:t>
      </w:r>
      <w:r>
        <w:rPr>
          <w:rFonts w:eastAsia="Times New Roman"/>
          <w:color w:val="auto"/>
          <w:spacing w:val="-2"/>
        </w:rPr>
        <w:t>6</w:t>
      </w:r>
      <w:r>
        <w:rPr>
          <w:rFonts w:ascii="宋体" w:hAnsi="宋体" w:cs="宋体"/>
          <w:color w:val="auto"/>
          <w:spacing w:val="-2"/>
        </w:rPr>
        <w:t>）关于印发《重点行业挥发性有机物综合治理</w:t>
      </w:r>
      <w:r>
        <w:rPr>
          <w:rFonts w:ascii="宋体" w:hAnsi="宋体" w:cs="宋体"/>
          <w:color w:val="auto"/>
          <w:spacing w:val="-3"/>
        </w:rPr>
        <w:t>方案》的通知，环大气</w:t>
      </w:r>
      <w:r>
        <w:rPr>
          <w:rFonts w:eastAsia="Times New Roman"/>
          <w:color w:val="auto"/>
          <w:spacing w:val="-3"/>
        </w:rPr>
        <w:t>[2019]53</w:t>
      </w:r>
      <w:r>
        <w:rPr>
          <w:rFonts w:eastAsia="Times New Roman"/>
          <w:color w:val="auto"/>
        </w:rPr>
        <w:t xml:space="preserve"> </w:t>
      </w:r>
      <w:r>
        <w:rPr>
          <w:rFonts w:ascii="宋体" w:hAnsi="宋体" w:cs="宋体"/>
          <w:color w:val="auto"/>
          <w:spacing w:val="-7"/>
        </w:rPr>
        <w:t>号，</w:t>
      </w:r>
      <w:r>
        <w:rPr>
          <w:rFonts w:eastAsia="Times New Roman"/>
          <w:color w:val="auto"/>
          <w:spacing w:val="-7"/>
        </w:rPr>
        <w:t xml:space="preserve">2019 </w:t>
      </w:r>
      <w:r>
        <w:rPr>
          <w:rFonts w:ascii="宋体" w:hAnsi="宋体" w:cs="宋体"/>
          <w:color w:val="auto"/>
          <w:spacing w:val="-7"/>
        </w:rPr>
        <w:t>年</w:t>
      </w:r>
      <w:r>
        <w:rPr>
          <w:rFonts w:ascii="宋体" w:hAnsi="宋体" w:cs="宋体"/>
          <w:color w:val="auto"/>
          <w:spacing w:val="-45"/>
        </w:rPr>
        <w:t xml:space="preserve"> </w:t>
      </w:r>
      <w:r>
        <w:rPr>
          <w:rFonts w:eastAsia="Times New Roman"/>
          <w:color w:val="auto"/>
          <w:spacing w:val="-7"/>
        </w:rPr>
        <w:t>6</w:t>
      </w:r>
      <w:r>
        <w:rPr>
          <w:rFonts w:eastAsia="Times New Roman"/>
          <w:color w:val="auto"/>
          <w:spacing w:val="15"/>
          <w:w w:val="101"/>
        </w:rPr>
        <w:t xml:space="preserve"> </w:t>
      </w:r>
      <w:r>
        <w:rPr>
          <w:rFonts w:ascii="宋体" w:hAnsi="宋体" w:cs="宋体"/>
          <w:color w:val="auto"/>
          <w:spacing w:val="-7"/>
        </w:rPr>
        <w:t>月</w:t>
      </w:r>
      <w:r>
        <w:rPr>
          <w:rFonts w:ascii="宋体" w:hAnsi="宋体" w:cs="宋体"/>
          <w:color w:val="auto"/>
          <w:spacing w:val="-55"/>
        </w:rPr>
        <w:t xml:space="preserve"> </w:t>
      </w:r>
      <w:r>
        <w:rPr>
          <w:rFonts w:eastAsia="Times New Roman"/>
          <w:color w:val="auto"/>
          <w:spacing w:val="-7"/>
        </w:rPr>
        <w:t xml:space="preserve">26  </w:t>
      </w:r>
      <w:r>
        <w:rPr>
          <w:rFonts w:ascii="宋体" w:hAnsi="宋体" w:cs="宋体"/>
          <w:color w:val="auto"/>
          <w:spacing w:val="-7"/>
        </w:rPr>
        <w:t>日；</w:t>
      </w:r>
    </w:p>
    <w:p>
      <w:pPr>
        <w:pStyle w:val="2"/>
        <w:spacing w:after="0"/>
        <w:ind w:firstLine="476"/>
        <w:rPr>
          <w:color w:val="auto"/>
          <w:sz w:val="24"/>
        </w:rPr>
      </w:pPr>
      <w:r>
        <w:rPr>
          <w:rFonts w:ascii="宋体" w:hAnsi="宋体" w:cs="宋体"/>
          <w:color w:val="auto"/>
          <w:spacing w:val="-1"/>
          <w:sz w:val="24"/>
        </w:rPr>
        <w:t>（</w:t>
      </w:r>
      <w:r>
        <w:rPr>
          <w:rFonts w:eastAsia="Times New Roman"/>
          <w:color w:val="auto"/>
          <w:spacing w:val="-1"/>
          <w:sz w:val="24"/>
        </w:rPr>
        <w:t>7</w:t>
      </w:r>
      <w:r>
        <w:rPr>
          <w:rFonts w:ascii="宋体" w:hAnsi="宋体" w:cs="宋体"/>
          <w:color w:val="auto"/>
          <w:spacing w:val="-1"/>
          <w:sz w:val="24"/>
        </w:rPr>
        <w:t>）</w:t>
      </w:r>
      <w:r>
        <w:rPr>
          <w:color w:val="auto"/>
          <w:sz w:val="24"/>
        </w:rPr>
        <w:t>《青海省大气污染防治条例》，2018年11月28日青海省第十三届人大会常委会第七次会议审议通过，2019年2月1日起施行；</w:t>
      </w:r>
    </w:p>
    <w:p>
      <w:pPr>
        <w:ind w:firstLine="480"/>
        <w:outlineLvl w:val="2"/>
        <w:rPr>
          <w:bCs/>
          <w:color w:val="auto"/>
        </w:rPr>
      </w:pPr>
      <w:r>
        <w:rPr>
          <w:rFonts w:hint="eastAsia"/>
          <w:bCs/>
          <w:color w:val="auto"/>
        </w:rPr>
        <w:t>（8）</w:t>
      </w:r>
      <w:r>
        <w:rPr>
          <w:color w:val="auto"/>
        </w:rPr>
        <w:t>青</w:t>
      </w:r>
      <w:r>
        <w:rPr>
          <w:rFonts w:hint="eastAsia"/>
          <w:color w:val="auto"/>
        </w:rPr>
        <w:t>生</w:t>
      </w:r>
      <w:r>
        <w:rPr>
          <w:color w:val="auto"/>
        </w:rPr>
        <w:t>发[20</w:t>
      </w:r>
      <w:r>
        <w:rPr>
          <w:rFonts w:hint="eastAsia"/>
          <w:color w:val="auto"/>
        </w:rPr>
        <w:t>22</w:t>
      </w:r>
      <w:r>
        <w:rPr>
          <w:color w:val="auto"/>
        </w:rPr>
        <w:t>]1</w:t>
      </w:r>
      <w:r>
        <w:rPr>
          <w:rFonts w:hint="eastAsia"/>
          <w:color w:val="auto"/>
        </w:rPr>
        <w:t>83</w:t>
      </w:r>
      <w:r>
        <w:rPr>
          <w:color w:val="auto"/>
        </w:rPr>
        <w:t>号</w:t>
      </w:r>
      <w:r>
        <w:rPr>
          <w:rFonts w:hint="eastAsia"/>
          <w:bCs/>
          <w:color w:val="auto"/>
        </w:rPr>
        <w:t>《青海省生态环境厅等四部门关于印发&lt;青海省“十四五”固体废物污染环境防治规划&gt;的通知》。</w:t>
      </w:r>
    </w:p>
    <w:p>
      <w:pPr>
        <w:pStyle w:val="40"/>
        <w:ind w:firstLine="480"/>
        <w:rPr>
          <w:rFonts w:hint="eastAsia"/>
          <w:color w:val="auto"/>
        </w:rPr>
      </w:pPr>
      <w:r>
        <w:rPr>
          <w:rFonts w:hint="eastAsia"/>
          <w:color w:val="auto"/>
        </w:rPr>
        <w:t>（9）《</w:t>
      </w:r>
      <w:r>
        <w:rPr>
          <w:color w:val="auto"/>
        </w:rPr>
        <w:t>青海省生态环境保护条例</w:t>
      </w:r>
      <w:r>
        <w:rPr>
          <w:rFonts w:hint="eastAsia"/>
          <w:color w:val="auto"/>
        </w:rPr>
        <w:t>》（青海省第十三届人民代表大会常务委员会第三十次会议通过，2022年3月29）。</w:t>
      </w:r>
    </w:p>
    <w:p>
      <w:pPr>
        <w:pStyle w:val="6"/>
        <w:ind w:firstLine="482"/>
        <w:rPr>
          <w:color w:val="auto"/>
        </w:rPr>
      </w:pPr>
      <w:r>
        <w:rPr>
          <w:color w:val="auto"/>
        </w:rPr>
        <w:t>1.2.2 技术导则及规范</w:t>
      </w:r>
    </w:p>
    <w:p>
      <w:pPr>
        <w:ind w:firstLine="472"/>
        <w:jc w:val="left"/>
        <w:rPr>
          <w:rFonts w:hint="eastAsia" w:ascii="宋体" w:hAnsi="宋体" w:cs="宋体"/>
          <w:color w:val="auto"/>
        </w:rPr>
      </w:pPr>
      <w:r>
        <w:rPr>
          <w:rFonts w:ascii="宋体" w:hAnsi="宋体" w:cs="宋体"/>
          <w:color w:val="auto"/>
          <w:spacing w:val="-2"/>
        </w:rPr>
        <w:t>（</w:t>
      </w:r>
      <w:r>
        <w:rPr>
          <w:rFonts w:eastAsia="Times New Roman"/>
          <w:color w:val="auto"/>
          <w:spacing w:val="-2"/>
        </w:rPr>
        <w:t>1</w:t>
      </w:r>
      <w:r>
        <w:rPr>
          <w:rFonts w:ascii="宋体" w:hAnsi="宋体" w:cs="宋体"/>
          <w:color w:val="auto"/>
          <w:spacing w:val="-2"/>
        </w:rPr>
        <w:t>）《建设项目环境影响评价技术导则总纲》（</w:t>
      </w:r>
      <w:r>
        <w:rPr>
          <w:rFonts w:eastAsia="Times New Roman"/>
          <w:color w:val="auto"/>
          <w:spacing w:val="-2"/>
        </w:rPr>
        <w:t>HJ2.</w:t>
      </w:r>
      <w:r>
        <w:rPr>
          <w:rFonts w:eastAsia="Times New Roman"/>
          <w:color w:val="auto"/>
          <w:spacing w:val="-31"/>
        </w:rPr>
        <w:t xml:space="preserve"> </w:t>
      </w:r>
      <w:r>
        <w:rPr>
          <w:rFonts w:eastAsia="Times New Roman"/>
          <w:color w:val="auto"/>
          <w:spacing w:val="-2"/>
        </w:rPr>
        <w:t>1-2016</w:t>
      </w:r>
      <w:r>
        <w:rPr>
          <w:rFonts w:ascii="宋体" w:hAnsi="宋体" w:cs="宋体"/>
          <w:color w:val="auto"/>
          <w:spacing w:val="6"/>
        </w:rPr>
        <w:t>）；</w:t>
      </w:r>
    </w:p>
    <w:p>
      <w:pPr>
        <w:ind w:firstLine="476"/>
        <w:jc w:val="left"/>
        <w:rPr>
          <w:rFonts w:hint="eastAsia" w:ascii="宋体" w:hAnsi="宋体" w:cs="宋体"/>
          <w:color w:val="auto"/>
        </w:rPr>
      </w:pPr>
      <w:r>
        <w:rPr>
          <w:rFonts w:ascii="宋体" w:hAnsi="宋体" w:cs="宋体"/>
          <w:color w:val="auto"/>
          <w:spacing w:val="-1"/>
        </w:rPr>
        <w:t>（</w:t>
      </w:r>
      <w:r>
        <w:rPr>
          <w:rFonts w:eastAsia="Times New Roman"/>
          <w:color w:val="auto"/>
          <w:spacing w:val="-1"/>
        </w:rPr>
        <w:t>2</w:t>
      </w:r>
      <w:r>
        <w:rPr>
          <w:rFonts w:ascii="宋体" w:hAnsi="宋体" w:cs="宋体"/>
          <w:color w:val="auto"/>
          <w:spacing w:val="-1"/>
        </w:rPr>
        <w:t>）《环境影响评价技术导则大气环境》（</w:t>
      </w:r>
      <w:r>
        <w:rPr>
          <w:rFonts w:eastAsia="Times New Roman"/>
          <w:color w:val="auto"/>
          <w:spacing w:val="-1"/>
        </w:rPr>
        <w:t>HJ2.2-2018</w:t>
      </w:r>
      <w:r>
        <w:rPr>
          <w:rFonts w:ascii="宋体" w:hAnsi="宋体" w:cs="宋体"/>
          <w:color w:val="auto"/>
          <w:spacing w:val="3"/>
        </w:rPr>
        <w:t>）；</w:t>
      </w:r>
    </w:p>
    <w:p>
      <w:pPr>
        <w:ind w:firstLine="476"/>
        <w:jc w:val="left"/>
        <w:rPr>
          <w:rFonts w:hint="eastAsia" w:ascii="宋体" w:hAnsi="宋体" w:cs="宋体"/>
          <w:color w:val="auto"/>
        </w:rPr>
      </w:pPr>
      <w:r>
        <w:rPr>
          <w:rFonts w:ascii="宋体" w:hAnsi="宋体" w:cs="宋体"/>
          <w:color w:val="auto"/>
          <w:spacing w:val="-1"/>
          <w:position w:val="2"/>
        </w:rPr>
        <w:t>（</w:t>
      </w:r>
      <w:r>
        <w:rPr>
          <w:rFonts w:eastAsia="Times New Roman"/>
          <w:color w:val="auto"/>
          <w:spacing w:val="-1"/>
          <w:position w:val="2"/>
        </w:rPr>
        <w:t>3</w:t>
      </w:r>
      <w:r>
        <w:rPr>
          <w:rFonts w:ascii="宋体" w:hAnsi="宋体" w:cs="宋体"/>
          <w:color w:val="auto"/>
          <w:spacing w:val="-1"/>
          <w:position w:val="2"/>
        </w:rPr>
        <w:t>）《大气污染物无组织排放监测技术导则》（</w:t>
      </w:r>
      <w:r>
        <w:rPr>
          <w:rFonts w:eastAsia="Times New Roman"/>
          <w:color w:val="auto"/>
          <w:spacing w:val="-1"/>
          <w:position w:val="2"/>
        </w:rPr>
        <w:t>HJ/T55-2000</w:t>
      </w:r>
      <w:r>
        <w:rPr>
          <w:rFonts w:ascii="宋体" w:hAnsi="宋体" w:cs="宋体"/>
          <w:color w:val="auto"/>
          <w:spacing w:val="5"/>
          <w:position w:val="2"/>
        </w:rPr>
        <w:t>）；</w:t>
      </w:r>
    </w:p>
    <w:p>
      <w:pPr>
        <w:ind w:firstLine="472"/>
        <w:jc w:val="left"/>
        <w:rPr>
          <w:rFonts w:hint="eastAsia" w:ascii="宋体" w:hAnsi="宋体" w:cs="宋体"/>
          <w:color w:val="auto"/>
        </w:rPr>
      </w:pPr>
      <w:r>
        <w:rPr>
          <w:rFonts w:ascii="宋体" w:hAnsi="宋体" w:cs="宋体"/>
          <w:color w:val="auto"/>
          <w:spacing w:val="-2"/>
          <w:position w:val="2"/>
        </w:rPr>
        <w:t>（</w:t>
      </w:r>
      <w:r>
        <w:rPr>
          <w:rFonts w:eastAsia="Times New Roman"/>
          <w:color w:val="auto"/>
          <w:spacing w:val="-2"/>
          <w:position w:val="2"/>
        </w:rPr>
        <w:t>4</w:t>
      </w:r>
      <w:r>
        <w:rPr>
          <w:rFonts w:ascii="宋体" w:hAnsi="宋体" w:cs="宋体"/>
          <w:color w:val="auto"/>
          <w:spacing w:val="-2"/>
          <w:position w:val="2"/>
        </w:rPr>
        <w:t>）《环境空气质量手工监测技术规范》（</w:t>
      </w:r>
      <w:r>
        <w:rPr>
          <w:rFonts w:eastAsia="Times New Roman"/>
          <w:color w:val="auto"/>
          <w:spacing w:val="-2"/>
          <w:position w:val="2"/>
        </w:rPr>
        <w:t>HJ/</w:t>
      </w:r>
      <w:r>
        <w:rPr>
          <w:rFonts w:eastAsia="Times New Roman"/>
          <w:color w:val="auto"/>
          <w:spacing w:val="-33"/>
          <w:position w:val="2"/>
        </w:rPr>
        <w:t xml:space="preserve"> </w:t>
      </w:r>
      <w:r>
        <w:rPr>
          <w:rFonts w:eastAsia="Times New Roman"/>
          <w:color w:val="auto"/>
          <w:spacing w:val="-2"/>
          <w:position w:val="2"/>
        </w:rPr>
        <w:t>194-2017</w:t>
      </w:r>
      <w:r>
        <w:rPr>
          <w:rFonts w:ascii="宋体" w:hAnsi="宋体" w:cs="宋体"/>
          <w:color w:val="auto"/>
          <w:spacing w:val="6"/>
          <w:position w:val="2"/>
        </w:rPr>
        <w:t>）；</w:t>
      </w:r>
    </w:p>
    <w:p>
      <w:pPr>
        <w:ind w:firstLine="476"/>
        <w:jc w:val="left"/>
        <w:rPr>
          <w:rFonts w:hint="eastAsia" w:ascii="宋体" w:hAnsi="宋体" w:cs="宋体"/>
          <w:color w:val="auto"/>
        </w:rPr>
      </w:pPr>
      <w:r>
        <w:rPr>
          <w:rFonts w:ascii="宋体" w:hAnsi="宋体" w:cs="宋体"/>
          <w:color w:val="auto"/>
          <w:spacing w:val="-1"/>
        </w:rPr>
        <w:t>（</w:t>
      </w:r>
      <w:r>
        <w:rPr>
          <w:rFonts w:eastAsia="Times New Roman"/>
          <w:color w:val="auto"/>
          <w:spacing w:val="-1"/>
        </w:rPr>
        <w:t>5</w:t>
      </w:r>
      <w:r>
        <w:rPr>
          <w:rFonts w:ascii="宋体" w:hAnsi="宋体" w:cs="宋体"/>
          <w:color w:val="auto"/>
          <w:spacing w:val="-1"/>
        </w:rPr>
        <w:t>）国家环保总局等编《空气和废气监测分析方法》（第四版</w:t>
      </w:r>
      <w:r>
        <w:rPr>
          <w:rFonts w:ascii="宋体" w:hAnsi="宋体" w:cs="宋体"/>
          <w:color w:val="auto"/>
          <w:spacing w:val="3"/>
        </w:rPr>
        <w:t>）；</w:t>
      </w:r>
    </w:p>
    <w:p>
      <w:pPr>
        <w:ind w:left="13" w:right="658" w:firstLine="476"/>
        <w:jc w:val="left"/>
        <w:rPr>
          <w:rFonts w:hint="eastAsia" w:ascii="宋体" w:hAnsi="宋体" w:cs="宋体"/>
          <w:color w:val="auto"/>
        </w:rPr>
      </w:pPr>
      <w:r>
        <w:rPr>
          <w:rFonts w:ascii="宋体" w:hAnsi="宋体" w:cs="宋体"/>
          <w:color w:val="auto"/>
          <w:spacing w:val="-1"/>
        </w:rPr>
        <w:t>（</w:t>
      </w:r>
      <w:r>
        <w:rPr>
          <w:rFonts w:eastAsia="Times New Roman"/>
          <w:color w:val="auto"/>
          <w:spacing w:val="-1"/>
        </w:rPr>
        <w:t>6</w:t>
      </w:r>
      <w:r>
        <w:rPr>
          <w:rFonts w:ascii="宋体" w:hAnsi="宋体" w:cs="宋体"/>
          <w:color w:val="auto"/>
          <w:spacing w:val="-1"/>
        </w:rPr>
        <w:t>）《排污许可证申请与核发技术规范石墨及其他非金属矿物制</w:t>
      </w:r>
      <w:r>
        <w:rPr>
          <w:rFonts w:ascii="宋体" w:hAnsi="宋体" w:cs="宋体"/>
          <w:color w:val="auto"/>
          <w:spacing w:val="-2"/>
        </w:rPr>
        <w:t>品制造》</w:t>
      </w:r>
      <w:r>
        <w:rPr>
          <w:rFonts w:ascii="宋体" w:hAnsi="宋体" w:cs="宋体"/>
          <w:color w:val="auto"/>
        </w:rPr>
        <w:t xml:space="preserve"> </w:t>
      </w:r>
      <w:r>
        <w:rPr>
          <w:rFonts w:ascii="宋体" w:hAnsi="宋体" w:cs="宋体"/>
          <w:color w:val="auto"/>
          <w:spacing w:val="-3"/>
        </w:rPr>
        <w:t>（</w:t>
      </w:r>
      <w:r>
        <w:rPr>
          <w:rFonts w:eastAsia="Times New Roman"/>
          <w:color w:val="auto"/>
          <w:spacing w:val="-3"/>
        </w:rPr>
        <w:t>HJ1119-2020</w:t>
      </w:r>
      <w:r>
        <w:rPr>
          <w:rFonts w:ascii="宋体" w:hAnsi="宋体" w:cs="宋体"/>
          <w:color w:val="auto"/>
          <w:spacing w:val="-3"/>
        </w:rPr>
        <w:t>）。</w:t>
      </w:r>
    </w:p>
    <w:p>
      <w:pPr>
        <w:pStyle w:val="5"/>
        <w:tabs>
          <w:tab w:val="left" w:pos="3949"/>
        </w:tabs>
        <w:ind w:firstLine="281"/>
        <w:rPr>
          <w:color w:val="auto"/>
        </w:rPr>
      </w:pPr>
      <w:r>
        <w:rPr>
          <w:rFonts w:hint="eastAsia"/>
          <w:color w:val="auto"/>
        </w:rPr>
        <w:t>1.3 评价内容、工作等级、范围及重点</w:t>
      </w:r>
    </w:p>
    <w:p>
      <w:pPr>
        <w:pStyle w:val="6"/>
        <w:ind w:firstLine="482"/>
        <w:rPr>
          <w:color w:val="auto"/>
        </w:rPr>
      </w:pPr>
      <w:r>
        <w:rPr>
          <w:rFonts w:hint="eastAsia"/>
          <w:color w:val="auto"/>
        </w:rPr>
        <w:t>1.3.1 评价内容</w:t>
      </w:r>
    </w:p>
    <w:p>
      <w:pPr>
        <w:pStyle w:val="2"/>
        <w:spacing w:after="0"/>
        <w:ind w:firstLine="480"/>
        <w:jc w:val="left"/>
        <w:rPr>
          <w:color w:val="auto"/>
          <w:sz w:val="24"/>
        </w:rPr>
      </w:pPr>
      <w:r>
        <w:rPr>
          <w:rFonts w:hint="eastAsia"/>
          <w:color w:val="auto"/>
          <w:sz w:val="24"/>
        </w:rPr>
        <w:t>根据对建设项目环境特征的调查和项目自身的特性，确定本次专项评价为大气环境影响评价，同时确定本次专项评价评价因子为颗粒物、二氧化硫、氮氧化物、苯并[a]芘、</w:t>
      </w:r>
      <w:r>
        <w:rPr>
          <w:rFonts w:hint="eastAsia"/>
          <w:color w:val="auto"/>
          <w:sz w:val="24"/>
          <w:lang w:val="en-US" w:eastAsia="zh-CN"/>
        </w:rPr>
        <w:t>沥青烟</w:t>
      </w:r>
      <w:r>
        <w:rPr>
          <w:rFonts w:hint="eastAsia"/>
          <w:color w:val="auto"/>
          <w:sz w:val="24"/>
        </w:rPr>
        <w:t>。</w:t>
      </w:r>
    </w:p>
    <w:p>
      <w:pPr>
        <w:pStyle w:val="6"/>
        <w:ind w:firstLine="482"/>
        <w:rPr>
          <w:color w:val="auto"/>
        </w:rPr>
      </w:pPr>
      <w:r>
        <w:rPr>
          <w:rFonts w:hint="eastAsia"/>
          <w:color w:val="auto"/>
        </w:rPr>
        <w:t>1.3.2 评价等级</w:t>
      </w:r>
    </w:p>
    <w:p>
      <w:pPr>
        <w:pStyle w:val="2"/>
        <w:spacing w:after="0"/>
        <w:ind w:firstLine="480"/>
        <w:jc w:val="left"/>
        <w:rPr>
          <w:color w:val="auto"/>
          <w:sz w:val="24"/>
        </w:rPr>
      </w:pPr>
      <w:r>
        <w:rPr>
          <w:rFonts w:hint="eastAsia"/>
          <w:color w:val="auto"/>
          <w:sz w:val="24"/>
        </w:rPr>
        <w:t>根据《环境影响评价技术导则大气环境》（HJ2.2-2018）有关规定，评价等级根据主要污染物的占标率及项目所在地区地形确定。本项目沥青站大气污染物主要有有组织排放的粉料仓呼吸粉尘、投料粉尘、骨料输运、加热、提升、筛分粉尘、干燥滚筒燃烧废气、导热油炉燃烧废气及沥青烟气；无组织排放的原料装卸扬尘、堆场粉尘、汽车运输粉尘、搅拌楼粉尘、上料粉尘、粉料筒仓粉尘。</w:t>
      </w:r>
    </w:p>
    <w:p>
      <w:pPr>
        <w:pStyle w:val="2"/>
        <w:spacing w:after="0"/>
        <w:ind w:firstLine="480"/>
        <w:jc w:val="left"/>
        <w:rPr>
          <w:color w:val="auto"/>
          <w:sz w:val="24"/>
        </w:rPr>
      </w:pPr>
      <w:r>
        <w:rPr>
          <w:rFonts w:hint="eastAsia"/>
          <w:color w:val="auto"/>
          <w:sz w:val="24"/>
        </w:rPr>
        <w:t>采用《环境影响评价技术导则大气环境》（HJ2.2-2018）的估算模式AERSCREEN进行预测，可确定大气评价等级，由后文可知大气环境评价工作等级为二级。</w:t>
      </w:r>
    </w:p>
    <w:p>
      <w:pPr>
        <w:pStyle w:val="6"/>
        <w:ind w:firstLine="482"/>
        <w:rPr>
          <w:color w:val="auto"/>
        </w:rPr>
      </w:pPr>
      <w:r>
        <w:rPr>
          <w:rFonts w:hint="eastAsia"/>
          <w:color w:val="auto"/>
        </w:rPr>
        <w:t>1.3.3 评价范围及重点</w:t>
      </w:r>
    </w:p>
    <w:p>
      <w:pPr>
        <w:pStyle w:val="2"/>
        <w:spacing w:after="0"/>
        <w:ind w:firstLine="480"/>
        <w:jc w:val="left"/>
        <w:rPr>
          <w:color w:val="auto"/>
          <w:sz w:val="24"/>
        </w:rPr>
      </w:pPr>
      <w:r>
        <w:rPr>
          <w:rFonts w:hint="eastAsia"/>
          <w:color w:val="auto"/>
          <w:sz w:val="24"/>
        </w:rPr>
        <w:t>根据《环境影响评价技术导则大气环境》（HJ2.2-2018）规定，本次大气环境影响评价范围为以厂址为中心，边长为5km的矩形区域。评价重点为着重分析本项目废气污染防治措施的可行性，并预测本项目苯并[a]芘、颗粒物、二氧化硫、氮氧化物对大气环境的影响程度。</w:t>
      </w:r>
    </w:p>
    <w:p>
      <w:pPr>
        <w:pStyle w:val="5"/>
        <w:tabs>
          <w:tab w:val="left" w:pos="3949"/>
        </w:tabs>
        <w:ind w:firstLine="281"/>
        <w:rPr>
          <w:color w:val="auto"/>
        </w:rPr>
      </w:pPr>
      <w:r>
        <w:rPr>
          <w:rFonts w:hint="eastAsia"/>
          <w:color w:val="auto"/>
        </w:rPr>
        <w:t>1.4 评价标准</w:t>
      </w:r>
    </w:p>
    <w:p>
      <w:pPr>
        <w:pStyle w:val="6"/>
        <w:ind w:firstLine="482"/>
        <w:rPr>
          <w:color w:val="auto"/>
        </w:rPr>
      </w:pPr>
      <w:r>
        <w:rPr>
          <w:rFonts w:hint="eastAsia"/>
          <w:color w:val="auto"/>
        </w:rPr>
        <w:t>1.4.1 环境空气质量标准</w:t>
      </w:r>
    </w:p>
    <w:p>
      <w:pPr>
        <w:pStyle w:val="2"/>
        <w:spacing w:after="0"/>
        <w:ind w:firstLine="480"/>
        <w:jc w:val="left"/>
        <w:rPr>
          <w:color w:val="auto"/>
          <w:sz w:val="24"/>
        </w:rPr>
      </w:pPr>
      <w:r>
        <w:rPr>
          <w:rFonts w:hint="eastAsia"/>
          <w:color w:val="auto"/>
          <w:sz w:val="24"/>
        </w:rPr>
        <w:t>项目所在区域环境空气执行标准详见表 1-1。</w:t>
      </w:r>
    </w:p>
    <w:p>
      <w:pPr>
        <w:pStyle w:val="2"/>
        <w:spacing w:after="0"/>
        <w:ind w:firstLine="420"/>
        <w:jc w:val="left"/>
        <w:rPr>
          <w:color w:val="auto"/>
        </w:rPr>
      </w:pPr>
    </w:p>
    <w:p>
      <w:pPr>
        <w:pStyle w:val="2"/>
        <w:spacing w:after="0"/>
        <w:ind w:firstLine="420"/>
        <w:jc w:val="left"/>
        <w:rPr>
          <w:color w:val="auto"/>
        </w:rPr>
      </w:pPr>
    </w:p>
    <w:p>
      <w:pPr>
        <w:pStyle w:val="2"/>
        <w:spacing w:after="0"/>
        <w:ind w:firstLine="420"/>
        <w:jc w:val="left"/>
        <w:rPr>
          <w:color w:val="auto"/>
        </w:rPr>
      </w:pPr>
    </w:p>
    <w:p>
      <w:pPr>
        <w:spacing w:before="182" w:line="212" w:lineRule="auto"/>
        <w:ind w:left="2545" w:firstLine="470"/>
        <w:rPr>
          <w:rFonts w:hint="eastAsia" w:ascii="宋体" w:hAnsi="宋体" w:cs="宋体"/>
          <w:color w:val="auto"/>
        </w:rPr>
      </w:pPr>
      <w:r>
        <w:rPr>
          <w:rFonts w:ascii="宋体" w:hAnsi="宋体" w:cs="宋体"/>
          <w:b/>
          <w:bCs/>
          <w:color w:val="auto"/>
          <w:spacing w:val="-3"/>
        </w:rPr>
        <w:t>表</w:t>
      </w:r>
      <w:r>
        <w:rPr>
          <w:rFonts w:ascii="宋体" w:hAnsi="宋体" w:cs="宋体"/>
          <w:color w:val="auto"/>
          <w:spacing w:val="-29"/>
        </w:rPr>
        <w:t xml:space="preserve"> </w:t>
      </w:r>
      <w:r>
        <w:rPr>
          <w:rFonts w:eastAsia="Times New Roman"/>
          <w:b/>
          <w:bCs/>
          <w:color w:val="auto"/>
          <w:spacing w:val="-3"/>
        </w:rPr>
        <w:t xml:space="preserve">1-1    </w:t>
      </w:r>
      <w:r>
        <w:rPr>
          <w:rFonts w:ascii="宋体" w:hAnsi="宋体" w:cs="宋体"/>
          <w:b/>
          <w:bCs/>
          <w:color w:val="auto"/>
          <w:spacing w:val="-3"/>
        </w:rPr>
        <w:t>环境空气质量执行标准一览表</w:t>
      </w:r>
    </w:p>
    <w:tbl>
      <w:tblPr>
        <w:tblStyle w:val="61"/>
        <w:tblW w:w="88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5"/>
        <w:gridCol w:w="2115"/>
        <w:gridCol w:w="1965"/>
        <w:gridCol w:w="33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455" w:type="dxa"/>
          </w:tcPr>
          <w:p>
            <w:pPr>
              <w:ind w:firstLine="0" w:firstLineChars="0"/>
              <w:jc w:val="center"/>
              <w:rPr>
                <w:color w:val="auto"/>
              </w:rPr>
            </w:pPr>
            <w:r>
              <w:rPr>
                <w:color w:val="auto"/>
                <w:sz w:val="21"/>
                <w:szCs w:val="21"/>
              </w:rPr>
              <w:t>污染物名称</w:t>
            </w:r>
          </w:p>
        </w:tc>
        <w:tc>
          <w:tcPr>
            <w:tcW w:w="2115" w:type="dxa"/>
          </w:tcPr>
          <w:p>
            <w:pPr>
              <w:ind w:firstLine="0" w:firstLineChars="0"/>
              <w:jc w:val="center"/>
              <w:rPr>
                <w:color w:val="auto"/>
                <w:sz w:val="21"/>
                <w:szCs w:val="21"/>
              </w:rPr>
            </w:pPr>
            <w:r>
              <w:rPr>
                <w:color w:val="auto"/>
                <w:sz w:val="21"/>
                <w:szCs w:val="21"/>
              </w:rPr>
              <w:t>平均时间</w:t>
            </w:r>
          </w:p>
        </w:tc>
        <w:tc>
          <w:tcPr>
            <w:tcW w:w="1965" w:type="dxa"/>
          </w:tcPr>
          <w:p>
            <w:pPr>
              <w:pStyle w:val="68"/>
              <w:spacing w:before="98" w:line="228" w:lineRule="auto"/>
              <w:ind w:left="482" w:firstLine="0" w:firstLineChars="0"/>
              <w:rPr>
                <w:rFonts w:ascii="Times New Roman" w:hAnsi="Times New Roman" w:cs="Times New Roman"/>
                <w:color w:val="auto"/>
                <w:sz w:val="21"/>
                <w:szCs w:val="21"/>
              </w:rPr>
            </w:pPr>
            <w:r>
              <w:rPr>
                <w:rFonts w:ascii="Times New Roman" w:hAnsi="Times New Roman" w:cs="Times New Roman"/>
                <w:color w:val="auto"/>
                <w:spacing w:val="7"/>
                <w:sz w:val="21"/>
                <w:szCs w:val="21"/>
              </w:rPr>
              <w:t>二级浓度限值</w:t>
            </w:r>
          </w:p>
        </w:tc>
        <w:tc>
          <w:tcPr>
            <w:tcW w:w="3303" w:type="dxa"/>
          </w:tcPr>
          <w:p>
            <w:pPr>
              <w:pStyle w:val="68"/>
              <w:spacing w:before="98" w:line="228" w:lineRule="auto"/>
              <w:ind w:left="690" w:firstLine="0" w:firstLineChars="0"/>
              <w:rPr>
                <w:rFonts w:ascii="Times New Roman" w:hAnsi="Times New Roman" w:cs="Times New Roman"/>
                <w:color w:val="auto"/>
                <w:sz w:val="21"/>
                <w:szCs w:val="21"/>
              </w:rPr>
            </w:pPr>
            <w:r>
              <w:rPr>
                <w:rFonts w:ascii="Times New Roman" w:hAnsi="Times New Roman" w:cs="Times New Roman"/>
                <w:color w:val="auto"/>
                <w:spacing w:val="7"/>
                <w:sz w:val="21"/>
                <w:szCs w:val="21"/>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55" w:type="dxa"/>
            <w:vMerge w:val="restart"/>
            <w:tcBorders>
              <w:bottom w:val="nil"/>
            </w:tcBorders>
          </w:tcPr>
          <w:p>
            <w:pPr>
              <w:ind w:firstLine="0" w:firstLineChars="0"/>
              <w:jc w:val="center"/>
              <w:rPr>
                <w:color w:val="auto"/>
                <w:sz w:val="21"/>
                <w:szCs w:val="21"/>
              </w:rPr>
            </w:pPr>
          </w:p>
          <w:p>
            <w:pPr>
              <w:ind w:firstLine="0" w:firstLineChars="0"/>
              <w:jc w:val="center"/>
              <w:rPr>
                <w:color w:val="auto"/>
                <w:sz w:val="21"/>
                <w:szCs w:val="21"/>
              </w:rPr>
            </w:pPr>
            <w:r>
              <w:rPr>
                <w:color w:val="auto"/>
                <w:sz w:val="21"/>
                <w:szCs w:val="21"/>
              </w:rPr>
              <w:t>SO</w:t>
            </w:r>
            <w:r>
              <w:rPr>
                <w:color w:val="auto"/>
                <w:sz w:val="21"/>
                <w:szCs w:val="21"/>
                <w:vertAlign w:val="subscript"/>
              </w:rPr>
              <w:t>2</w:t>
            </w:r>
          </w:p>
        </w:tc>
        <w:tc>
          <w:tcPr>
            <w:tcW w:w="2115" w:type="dxa"/>
          </w:tcPr>
          <w:p>
            <w:pPr>
              <w:ind w:firstLine="0" w:firstLineChars="0"/>
              <w:jc w:val="center"/>
              <w:rPr>
                <w:color w:val="auto"/>
                <w:sz w:val="21"/>
                <w:szCs w:val="21"/>
              </w:rPr>
            </w:pPr>
            <w:r>
              <w:rPr>
                <w:color w:val="auto"/>
                <w:sz w:val="21"/>
                <w:szCs w:val="21"/>
              </w:rPr>
              <w:t>年均值</w:t>
            </w:r>
          </w:p>
        </w:tc>
        <w:tc>
          <w:tcPr>
            <w:tcW w:w="1965" w:type="dxa"/>
          </w:tcPr>
          <w:p>
            <w:pPr>
              <w:spacing w:before="62" w:line="274" w:lineRule="exact"/>
              <w:ind w:left="755" w:firstLine="0" w:firstLineChars="0"/>
              <w:rPr>
                <w:rFonts w:eastAsia="Times New Roman"/>
                <w:color w:val="auto"/>
                <w:sz w:val="21"/>
                <w:szCs w:val="21"/>
              </w:rPr>
            </w:pPr>
            <w:r>
              <w:rPr>
                <w:rFonts w:eastAsia="Times New Roman"/>
                <w:color w:val="auto"/>
                <w:spacing w:val="3"/>
                <w:position w:val="3"/>
                <w:sz w:val="21"/>
                <w:szCs w:val="21"/>
              </w:rPr>
              <w:t>60μg/m³</w:t>
            </w:r>
          </w:p>
        </w:tc>
        <w:tc>
          <w:tcPr>
            <w:tcW w:w="3303" w:type="dxa"/>
            <w:vMerge w:val="restart"/>
            <w:tcBorders>
              <w:bottom w:val="nil"/>
            </w:tcBorders>
          </w:tcPr>
          <w:p>
            <w:pPr>
              <w:spacing w:line="246" w:lineRule="auto"/>
              <w:ind w:firstLine="0" w:firstLineChars="0"/>
              <w:rPr>
                <w:color w:val="auto"/>
                <w:sz w:val="21"/>
                <w:szCs w:val="21"/>
              </w:rPr>
            </w:pPr>
          </w:p>
          <w:p>
            <w:pPr>
              <w:spacing w:line="246" w:lineRule="auto"/>
              <w:ind w:firstLine="0" w:firstLineChars="0"/>
              <w:rPr>
                <w:color w:val="auto"/>
                <w:sz w:val="21"/>
                <w:szCs w:val="21"/>
              </w:rPr>
            </w:pPr>
          </w:p>
          <w:p>
            <w:pPr>
              <w:spacing w:line="246" w:lineRule="auto"/>
              <w:ind w:firstLine="0" w:firstLineChars="0"/>
              <w:rPr>
                <w:color w:val="auto"/>
                <w:sz w:val="21"/>
                <w:szCs w:val="21"/>
              </w:rPr>
            </w:pPr>
          </w:p>
          <w:p>
            <w:pPr>
              <w:spacing w:line="246" w:lineRule="auto"/>
              <w:ind w:firstLine="0" w:firstLineChars="0"/>
              <w:rPr>
                <w:color w:val="auto"/>
                <w:sz w:val="21"/>
                <w:szCs w:val="21"/>
              </w:rPr>
            </w:pPr>
          </w:p>
          <w:p>
            <w:pPr>
              <w:spacing w:line="246" w:lineRule="auto"/>
              <w:ind w:firstLine="0" w:firstLineChars="0"/>
              <w:rPr>
                <w:color w:val="auto"/>
                <w:sz w:val="21"/>
                <w:szCs w:val="21"/>
              </w:rPr>
            </w:pPr>
          </w:p>
          <w:p>
            <w:pPr>
              <w:spacing w:line="246" w:lineRule="auto"/>
              <w:ind w:firstLine="0" w:firstLineChars="0"/>
              <w:rPr>
                <w:color w:val="auto"/>
                <w:sz w:val="21"/>
                <w:szCs w:val="21"/>
              </w:rPr>
            </w:pPr>
          </w:p>
          <w:p>
            <w:pPr>
              <w:spacing w:line="246" w:lineRule="auto"/>
              <w:ind w:firstLine="0" w:firstLineChars="0"/>
              <w:rPr>
                <w:color w:val="auto"/>
                <w:sz w:val="21"/>
                <w:szCs w:val="21"/>
              </w:rPr>
            </w:pPr>
          </w:p>
          <w:p>
            <w:pPr>
              <w:spacing w:line="246" w:lineRule="auto"/>
              <w:ind w:firstLine="0" w:firstLineChars="0"/>
              <w:rPr>
                <w:color w:val="auto"/>
                <w:sz w:val="21"/>
                <w:szCs w:val="21"/>
              </w:rPr>
            </w:pPr>
          </w:p>
          <w:p>
            <w:pPr>
              <w:spacing w:line="246" w:lineRule="auto"/>
              <w:ind w:firstLine="0" w:firstLineChars="0"/>
              <w:rPr>
                <w:color w:val="auto"/>
                <w:sz w:val="21"/>
                <w:szCs w:val="21"/>
              </w:rPr>
            </w:pPr>
          </w:p>
          <w:p>
            <w:pPr>
              <w:spacing w:line="246" w:lineRule="auto"/>
              <w:ind w:firstLine="0" w:firstLineChars="0"/>
              <w:rPr>
                <w:color w:val="auto"/>
                <w:sz w:val="21"/>
                <w:szCs w:val="21"/>
              </w:rPr>
            </w:pPr>
          </w:p>
          <w:p>
            <w:pPr>
              <w:spacing w:line="246" w:lineRule="auto"/>
              <w:ind w:firstLine="0" w:firstLineChars="0"/>
              <w:rPr>
                <w:color w:val="auto"/>
                <w:sz w:val="21"/>
                <w:szCs w:val="21"/>
              </w:rPr>
            </w:pPr>
          </w:p>
          <w:p>
            <w:pPr>
              <w:spacing w:line="246" w:lineRule="auto"/>
              <w:ind w:firstLine="0" w:firstLineChars="0"/>
              <w:rPr>
                <w:color w:val="auto"/>
                <w:sz w:val="21"/>
                <w:szCs w:val="21"/>
              </w:rPr>
            </w:pPr>
          </w:p>
          <w:p>
            <w:pPr>
              <w:spacing w:line="246" w:lineRule="auto"/>
              <w:ind w:firstLine="0" w:firstLineChars="0"/>
              <w:rPr>
                <w:color w:val="auto"/>
                <w:sz w:val="21"/>
                <w:szCs w:val="21"/>
              </w:rPr>
            </w:pPr>
          </w:p>
          <w:p>
            <w:pPr>
              <w:spacing w:line="246" w:lineRule="auto"/>
              <w:ind w:firstLine="0" w:firstLineChars="0"/>
              <w:rPr>
                <w:color w:val="auto"/>
                <w:sz w:val="21"/>
                <w:szCs w:val="21"/>
              </w:rPr>
            </w:pPr>
          </w:p>
          <w:p>
            <w:pPr>
              <w:spacing w:line="246" w:lineRule="auto"/>
              <w:ind w:firstLine="0" w:firstLineChars="0"/>
              <w:rPr>
                <w:color w:val="auto"/>
                <w:sz w:val="21"/>
                <w:szCs w:val="21"/>
              </w:rPr>
            </w:pPr>
          </w:p>
          <w:p>
            <w:pPr>
              <w:spacing w:line="247" w:lineRule="auto"/>
              <w:ind w:firstLine="0" w:firstLineChars="0"/>
              <w:rPr>
                <w:color w:val="auto"/>
                <w:sz w:val="21"/>
                <w:szCs w:val="21"/>
              </w:rPr>
            </w:pPr>
          </w:p>
          <w:p>
            <w:pPr>
              <w:pStyle w:val="68"/>
              <w:spacing w:before="65" w:line="241" w:lineRule="auto"/>
              <w:ind w:left="115" w:right="79" w:firstLine="0" w:firstLineChars="0"/>
              <w:rPr>
                <w:rFonts w:ascii="Times New Roman" w:hAnsi="Times New Roman" w:cs="Times New Roman"/>
                <w:color w:val="auto"/>
                <w:sz w:val="21"/>
                <w:szCs w:val="21"/>
                <w:lang w:eastAsia="zh-CN"/>
              </w:rPr>
            </w:pPr>
            <w:r>
              <w:rPr>
                <w:rFonts w:ascii="Times New Roman" w:hAnsi="Times New Roman" w:cs="Times New Roman"/>
                <w:color w:val="auto"/>
                <w:spacing w:val="8"/>
                <w:sz w:val="21"/>
                <w:szCs w:val="21"/>
                <w:lang w:eastAsia="zh-CN"/>
              </w:rPr>
              <w:t>《环境空气质量标</w:t>
            </w:r>
            <w:r>
              <w:rPr>
                <w:rFonts w:ascii="Times New Roman" w:hAnsi="Times New Roman" w:cs="Times New Roman"/>
                <w:color w:val="auto"/>
                <w:spacing w:val="5"/>
                <w:sz w:val="21"/>
                <w:szCs w:val="21"/>
                <w:lang w:eastAsia="zh-CN"/>
              </w:rPr>
              <w:t>准》（</w:t>
            </w:r>
            <w:r>
              <w:rPr>
                <w:rFonts w:ascii="Times New Roman" w:hAnsi="Times New Roman" w:eastAsia="Times New Roman" w:cs="Times New Roman"/>
                <w:color w:val="auto"/>
                <w:sz w:val="21"/>
                <w:szCs w:val="21"/>
                <w:lang w:eastAsia="zh-CN"/>
              </w:rPr>
              <w:t>GB</w:t>
            </w:r>
            <w:r>
              <w:rPr>
                <w:rFonts w:ascii="Times New Roman" w:hAnsi="Times New Roman" w:eastAsia="Times New Roman" w:cs="Times New Roman"/>
                <w:color w:val="auto"/>
                <w:spacing w:val="5"/>
                <w:sz w:val="21"/>
                <w:szCs w:val="21"/>
                <w:lang w:eastAsia="zh-CN"/>
              </w:rPr>
              <w:t>3095-2012</w:t>
            </w:r>
            <w:r>
              <w:rPr>
                <w:rFonts w:ascii="Times New Roman" w:hAnsi="Times New Roman" w:cs="Times New Roman"/>
                <w:color w:val="auto"/>
                <w:spacing w:val="5"/>
                <w:sz w:val="21"/>
                <w:szCs w:val="21"/>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55" w:type="dxa"/>
            <w:vMerge w:val="continue"/>
            <w:tcBorders>
              <w:top w:val="nil"/>
              <w:bottom w:val="nil"/>
            </w:tcBorders>
          </w:tcPr>
          <w:p>
            <w:pPr>
              <w:ind w:firstLine="0" w:firstLineChars="0"/>
              <w:jc w:val="center"/>
              <w:rPr>
                <w:color w:val="auto"/>
                <w:sz w:val="21"/>
                <w:szCs w:val="21"/>
              </w:rPr>
            </w:pPr>
          </w:p>
        </w:tc>
        <w:tc>
          <w:tcPr>
            <w:tcW w:w="2115" w:type="dxa"/>
          </w:tcPr>
          <w:p>
            <w:pPr>
              <w:ind w:firstLine="0" w:firstLineChars="0"/>
              <w:jc w:val="center"/>
              <w:rPr>
                <w:color w:val="auto"/>
                <w:sz w:val="21"/>
                <w:szCs w:val="21"/>
              </w:rPr>
            </w:pPr>
            <w:r>
              <w:rPr>
                <w:color w:val="auto"/>
                <w:sz w:val="21"/>
                <w:szCs w:val="21"/>
              </w:rPr>
              <w:t>24 小时平均</w:t>
            </w:r>
          </w:p>
        </w:tc>
        <w:tc>
          <w:tcPr>
            <w:tcW w:w="1965" w:type="dxa"/>
          </w:tcPr>
          <w:p>
            <w:pPr>
              <w:spacing w:before="64" w:line="274" w:lineRule="exact"/>
              <w:ind w:left="718" w:firstLine="0" w:firstLineChars="0"/>
              <w:rPr>
                <w:rFonts w:eastAsia="Times New Roman"/>
                <w:color w:val="auto"/>
                <w:sz w:val="21"/>
                <w:szCs w:val="21"/>
              </w:rPr>
            </w:pPr>
            <w:r>
              <w:rPr>
                <w:rFonts w:eastAsia="Times New Roman"/>
                <w:color w:val="auto"/>
                <w:spacing w:val="1"/>
                <w:position w:val="3"/>
                <w:sz w:val="21"/>
                <w:szCs w:val="21"/>
              </w:rPr>
              <w:t>150μg/m³</w:t>
            </w:r>
          </w:p>
        </w:tc>
        <w:tc>
          <w:tcPr>
            <w:tcW w:w="3303" w:type="dxa"/>
            <w:vMerge w:val="continue"/>
            <w:tcBorders>
              <w:top w:val="nil"/>
              <w:bottom w:val="nil"/>
            </w:tcBorders>
          </w:tcPr>
          <w:p>
            <w:pPr>
              <w:ind w:firstLine="0" w:firstLineChars="0"/>
              <w:rPr>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455" w:type="dxa"/>
            <w:vMerge w:val="continue"/>
            <w:tcBorders>
              <w:top w:val="nil"/>
            </w:tcBorders>
          </w:tcPr>
          <w:p>
            <w:pPr>
              <w:ind w:firstLine="0" w:firstLineChars="0"/>
              <w:jc w:val="center"/>
              <w:rPr>
                <w:color w:val="auto"/>
                <w:sz w:val="21"/>
                <w:szCs w:val="21"/>
              </w:rPr>
            </w:pPr>
          </w:p>
        </w:tc>
        <w:tc>
          <w:tcPr>
            <w:tcW w:w="2115" w:type="dxa"/>
          </w:tcPr>
          <w:p>
            <w:pPr>
              <w:ind w:firstLine="0" w:firstLineChars="0"/>
              <w:jc w:val="center"/>
              <w:rPr>
                <w:color w:val="auto"/>
                <w:sz w:val="21"/>
                <w:szCs w:val="21"/>
              </w:rPr>
            </w:pPr>
            <w:r>
              <w:rPr>
                <w:color w:val="auto"/>
                <w:sz w:val="21"/>
                <w:szCs w:val="21"/>
              </w:rPr>
              <w:t>1 小时平均</w:t>
            </w:r>
          </w:p>
        </w:tc>
        <w:tc>
          <w:tcPr>
            <w:tcW w:w="1965" w:type="dxa"/>
          </w:tcPr>
          <w:p>
            <w:pPr>
              <w:spacing w:before="63" w:line="274" w:lineRule="exact"/>
              <w:ind w:left="704" w:firstLine="0" w:firstLineChars="0"/>
              <w:rPr>
                <w:rFonts w:eastAsia="Times New Roman"/>
                <w:color w:val="auto"/>
                <w:sz w:val="21"/>
                <w:szCs w:val="21"/>
              </w:rPr>
            </w:pPr>
            <w:r>
              <w:rPr>
                <w:rFonts w:eastAsia="Times New Roman"/>
                <w:color w:val="auto"/>
                <w:spacing w:val="3"/>
                <w:position w:val="3"/>
                <w:sz w:val="21"/>
                <w:szCs w:val="21"/>
              </w:rPr>
              <w:t>500μg/m³</w:t>
            </w:r>
          </w:p>
        </w:tc>
        <w:tc>
          <w:tcPr>
            <w:tcW w:w="3303" w:type="dxa"/>
            <w:vMerge w:val="continue"/>
            <w:tcBorders>
              <w:top w:val="nil"/>
              <w:bottom w:val="nil"/>
            </w:tcBorders>
          </w:tcPr>
          <w:p>
            <w:pPr>
              <w:ind w:firstLine="0" w:firstLineChars="0"/>
              <w:rPr>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455" w:type="dxa"/>
            <w:vMerge w:val="restart"/>
            <w:tcBorders>
              <w:bottom w:val="nil"/>
            </w:tcBorders>
          </w:tcPr>
          <w:p>
            <w:pPr>
              <w:ind w:firstLine="0" w:firstLineChars="0"/>
              <w:jc w:val="center"/>
              <w:rPr>
                <w:color w:val="auto"/>
                <w:sz w:val="21"/>
                <w:szCs w:val="21"/>
              </w:rPr>
            </w:pPr>
          </w:p>
          <w:p>
            <w:pPr>
              <w:ind w:firstLine="0" w:firstLineChars="0"/>
              <w:jc w:val="center"/>
              <w:rPr>
                <w:color w:val="auto"/>
                <w:sz w:val="21"/>
                <w:szCs w:val="21"/>
              </w:rPr>
            </w:pPr>
            <w:r>
              <w:rPr>
                <w:color w:val="auto"/>
                <w:sz w:val="21"/>
                <w:szCs w:val="21"/>
              </w:rPr>
              <w:t>NO</w:t>
            </w:r>
            <w:r>
              <w:rPr>
                <w:color w:val="auto"/>
                <w:sz w:val="21"/>
                <w:szCs w:val="21"/>
                <w:vertAlign w:val="subscript"/>
              </w:rPr>
              <w:t>2</w:t>
            </w:r>
          </w:p>
        </w:tc>
        <w:tc>
          <w:tcPr>
            <w:tcW w:w="2115" w:type="dxa"/>
          </w:tcPr>
          <w:p>
            <w:pPr>
              <w:ind w:firstLine="0" w:firstLineChars="0"/>
              <w:jc w:val="center"/>
              <w:rPr>
                <w:color w:val="auto"/>
                <w:sz w:val="21"/>
                <w:szCs w:val="21"/>
              </w:rPr>
            </w:pPr>
            <w:r>
              <w:rPr>
                <w:color w:val="auto"/>
                <w:sz w:val="21"/>
                <w:szCs w:val="21"/>
              </w:rPr>
              <w:t>年均值</w:t>
            </w:r>
          </w:p>
        </w:tc>
        <w:tc>
          <w:tcPr>
            <w:tcW w:w="1965" w:type="dxa"/>
          </w:tcPr>
          <w:p>
            <w:pPr>
              <w:spacing w:before="64" w:line="274" w:lineRule="exact"/>
              <w:ind w:left="750" w:firstLine="0" w:firstLineChars="0"/>
              <w:rPr>
                <w:rFonts w:eastAsia="Times New Roman"/>
                <w:color w:val="auto"/>
                <w:sz w:val="21"/>
                <w:szCs w:val="21"/>
              </w:rPr>
            </w:pPr>
            <w:r>
              <w:rPr>
                <w:rFonts w:eastAsia="Times New Roman"/>
                <w:color w:val="auto"/>
                <w:spacing w:val="4"/>
                <w:position w:val="3"/>
                <w:sz w:val="21"/>
                <w:szCs w:val="21"/>
              </w:rPr>
              <w:t>40μg/m³</w:t>
            </w:r>
          </w:p>
        </w:tc>
        <w:tc>
          <w:tcPr>
            <w:tcW w:w="3303" w:type="dxa"/>
            <w:vMerge w:val="continue"/>
            <w:tcBorders>
              <w:top w:val="nil"/>
              <w:bottom w:val="nil"/>
            </w:tcBorders>
          </w:tcPr>
          <w:p>
            <w:pPr>
              <w:ind w:firstLine="0" w:firstLineChars="0"/>
              <w:rPr>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55" w:type="dxa"/>
            <w:vMerge w:val="continue"/>
            <w:tcBorders>
              <w:top w:val="nil"/>
              <w:bottom w:val="nil"/>
            </w:tcBorders>
          </w:tcPr>
          <w:p>
            <w:pPr>
              <w:ind w:firstLine="0" w:firstLineChars="0"/>
              <w:jc w:val="center"/>
              <w:rPr>
                <w:color w:val="auto"/>
                <w:sz w:val="21"/>
                <w:szCs w:val="21"/>
              </w:rPr>
            </w:pPr>
          </w:p>
        </w:tc>
        <w:tc>
          <w:tcPr>
            <w:tcW w:w="2115" w:type="dxa"/>
          </w:tcPr>
          <w:p>
            <w:pPr>
              <w:ind w:firstLine="0" w:firstLineChars="0"/>
              <w:jc w:val="center"/>
              <w:rPr>
                <w:color w:val="auto"/>
                <w:sz w:val="21"/>
                <w:szCs w:val="21"/>
              </w:rPr>
            </w:pPr>
            <w:r>
              <w:rPr>
                <w:color w:val="auto"/>
                <w:sz w:val="21"/>
                <w:szCs w:val="21"/>
              </w:rPr>
              <w:t>24 小时平均</w:t>
            </w:r>
          </w:p>
        </w:tc>
        <w:tc>
          <w:tcPr>
            <w:tcW w:w="1965" w:type="dxa"/>
          </w:tcPr>
          <w:p>
            <w:pPr>
              <w:spacing w:before="65" w:line="274" w:lineRule="exact"/>
              <w:ind w:left="759" w:firstLine="0" w:firstLineChars="0"/>
              <w:rPr>
                <w:rFonts w:eastAsia="Times New Roman"/>
                <w:color w:val="auto"/>
                <w:sz w:val="21"/>
                <w:szCs w:val="21"/>
              </w:rPr>
            </w:pPr>
            <w:r>
              <w:rPr>
                <w:rFonts w:eastAsia="Times New Roman"/>
                <w:color w:val="auto"/>
                <w:spacing w:val="2"/>
                <w:position w:val="3"/>
                <w:sz w:val="21"/>
                <w:szCs w:val="21"/>
              </w:rPr>
              <w:t>80μg/m³</w:t>
            </w:r>
          </w:p>
        </w:tc>
        <w:tc>
          <w:tcPr>
            <w:tcW w:w="3303" w:type="dxa"/>
            <w:vMerge w:val="continue"/>
            <w:tcBorders>
              <w:top w:val="nil"/>
              <w:bottom w:val="nil"/>
            </w:tcBorders>
          </w:tcPr>
          <w:p>
            <w:pPr>
              <w:ind w:firstLine="0" w:firstLineChars="0"/>
              <w:rPr>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455" w:type="dxa"/>
            <w:vMerge w:val="continue"/>
            <w:tcBorders>
              <w:top w:val="nil"/>
            </w:tcBorders>
          </w:tcPr>
          <w:p>
            <w:pPr>
              <w:ind w:firstLine="0" w:firstLineChars="0"/>
              <w:jc w:val="center"/>
              <w:rPr>
                <w:color w:val="auto"/>
                <w:sz w:val="21"/>
                <w:szCs w:val="21"/>
              </w:rPr>
            </w:pPr>
          </w:p>
        </w:tc>
        <w:tc>
          <w:tcPr>
            <w:tcW w:w="2115" w:type="dxa"/>
          </w:tcPr>
          <w:p>
            <w:pPr>
              <w:ind w:firstLine="0" w:firstLineChars="0"/>
              <w:jc w:val="center"/>
              <w:rPr>
                <w:color w:val="auto"/>
                <w:sz w:val="21"/>
                <w:szCs w:val="21"/>
              </w:rPr>
            </w:pPr>
            <w:r>
              <w:rPr>
                <w:color w:val="auto"/>
                <w:sz w:val="21"/>
                <w:szCs w:val="21"/>
              </w:rPr>
              <w:t>1 小时平均</w:t>
            </w:r>
          </w:p>
        </w:tc>
        <w:tc>
          <w:tcPr>
            <w:tcW w:w="1965" w:type="dxa"/>
          </w:tcPr>
          <w:p>
            <w:pPr>
              <w:spacing w:before="65" w:line="274" w:lineRule="exact"/>
              <w:ind w:left="698" w:firstLine="0" w:firstLineChars="0"/>
              <w:rPr>
                <w:rFonts w:eastAsia="Times New Roman"/>
                <w:color w:val="auto"/>
                <w:sz w:val="21"/>
                <w:szCs w:val="21"/>
              </w:rPr>
            </w:pPr>
            <w:r>
              <w:rPr>
                <w:rFonts w:eastAsia="Times New Roman"/>
                <w:color w:val="auto"/>
                <w:spacing w:val="4"/>
                <w:position w:val="3"/>
                <w:sz w:val="21"/>
                <w:szCs w:val="21"/>
              </w:rPr>
              <w:t>200μg/m³</w:t>
            </w:r>
          </w:p>
        </w:tc>
        <w:tc>
          <w:tcPr>
            <w:tcW w:w="3303" w:type="dxa"/>
            <w:vMerge w:val="continue"/>
            <w:tcBorders>
              <w:top w:val="nil"/>
              <w:bottom w:val="nil"/>
            </w:tcBorders>
          </w:tcPr>
          <w:p>
            <w:pPr>
              <w:ind w:firstLine="0" w:firstLineChars="0"/>
              <w:rPr>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455" w:type="dxa"/>
            <w:vMerge w:val="restart"/>
            <w:tcBorders>
              <w:bottom w:val="nil"/>
            </w:tcBorders>
          </w:tcPr>
          <w:p>
            <w:pPr>
              <w:ind w:firstLine="0" w:firstLineChars="0"/>
              <w:jc w:val="center"/>
              <w:rPr>
                <w:color w:val="auto"/>
                <w:sz w:val="21"/>
                <w:szCs w:val="21"/>
              </w:rPr>
            </w:pPr>
          </w:p>
          <w:p>
            <w:pPr>
              <w:ind w:firstLine="0" w:firstLineChars="0"/>
              <w:jc w:val="center"/>
              <w:rPr>
                <w:color w:val="auto"/>
                <w:sz w:val="21"/>
                <w:szCs w:val="21"/>
              </w:rPr>
            </w:pPr>
            <w:r>
              <w:rPr>
                <w:color w:val="auto"/>
                <w:sz w:val="21"/>
                <w:szCs w:val="21"/>
              </w:rPr>
              <w:t>CO</w:t>
            </w:r>
          </w:p>
        </w:tc>
        <w:tc>
          <w:tcPr>
            <w:tcW w:w="2115" w:type="dxa"/>
          </w:tcPr>
          <w:p>
            <w:pPr>
              <w:ind w:firstLine="0" w:firstLineChars="0"/>
              <w:jc w:val="center"/>
              <w:rPr>
                <w:color w:val="auto"/>
                <w:sz w:val="21"/>
                <w:szCs w:val="21"/>
              </w:rPr>
            </w:pPr>
            <w:r>
              <w:rPr>
                <w:color w:val="auto"/>
                <w:sz w:val="21"/>
                <w:szCs w:val="21"/>
              </w:rPr>
              <w:t>24 小时平均</w:t>
            </w:r>
          </w:p>
        </w:tc>
        <w:tc>
          <w:tcPr>
            <w:tcW w:w="1965" w:type="dxa"/>
          </w:tcPr>
          <w:p>
            <w:pPr>
              <w:spacing w:before="66" w:line="274" w:lineRule="exact"/>
              <w:ind w:left="776" w:firstLine="0" w:firstLineChars="0"/>
              <w:rPr>
                <w:rFonts w:eastAsia="Times New Roman"/>
                <w:color w:val="auto"/>
                <w:sz w:val="21"/>
                <w:szCs w:val="21"/>
              </w:rPr>
            </w:pPr>
            <w:r>
              <w:rPr>
                <w:rFonts w:eastAsia="Times New Roman"/>
                <w:color w:val="auto"/>
                <w:spacing w:val="6"/>
                <w:position w:val="3"/>
                <w:sz w:val="21"/>
                <w:szCs w:val="21"/>
              </w:rPr>
              <w:t>4</w:t>
            </w:r>
            <w:r>
              <w:rPr>
                <w:rFonts w:eastAsia="Times New Roman"/>
                <w:color w:val="auto"/>
                <w:position w:val="3"/>
                <w:sz w:val="21"/>
                <w:szCs w:val="21"/>
              </w:rPr>
              <w:t>mg</w:t>
            </w:r>
            <w:r>
              <w:rPr>
                <w:rFonts w:eastAsia="Times New Roman"/>
                <w:color w:val="auto"/>
                <w:spacing w:val="6"/>
                <w:position w:val="3"/>
                <w:sz w:val="21"/>
                <w:szCs w:val="21"/>
              </w:rPr>
              <w:t>/m³</w:t>
            </w:r>
          </w:p>
        </w:tc>
        <w:tc>
          <w:tcPr>
            <w:tcW w:w="3303" w:type="dxa"/>
            <w:vMerge w:val="continue"/>
            <w:tcBorders>
              <w:top w:val="nil"/>
              <w:bottom w:val="nil"/>
            </w:tcBorders>
          </w:tcPr>
          <w:p>
            <w:pPr>
              <w:ind w:firstLine="0" w:firstLineChars="0"/>
              <w:rPr>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455" w:type="dxa"/>
            <w:vMerge w:val="continue"/>
            <w:tcBorders>
              <w:top w:val="nil"/>
            </w:tcBorders>
          </w:tcPr>
          <w:p>
            <w:pPr>
              <w:ind w:firstLine="0" w:firstLineChars="0"/>
              <w:jc w:val="center"/>
              <w:rPr>
                <w:color w:val="auto"/>
                <w:sz w:val="21"/>
                <w:szCs w:val="21"/>
              </w:rPr>
            </w:pPr>
          </w:p>
        </w:tc>
        <w:tc>
          <w:tcPr>
            <w:tcW w:w="2115" w:type="dxa"/>
          </w:tcPr>
          <w:p>
            <w:pPr>
              <w:ind w:firstLine="0" w:firstLineChars="0"/>
              <w:jc w:val="center"/>
              <w:rPr>
                <w:color w:val="auto"/>
                <w:sz w:val="21"/>
                <w:szCs w:val="21"/>
              </w:rPr>
            </w:pPr>
            <w:r>
              <w:rPr>
                <w:color w:val="auto"/>
                <w:sz w:val="21"/>
                <w:szCs w:val="21"/>
              </w:rPr>
              <w:t>1 小时平均</w:t>
            </w:r>
          </w:p>
        </w:tc>
        <w:tc>
          <w:tcPr>
            <w:tcW w:w="1965" w:type="dxa"/>
          </w:tcPr>
          <w:p>
            <w:pPr>
              <w:spacing w:before="64" w:line="275" w:lineRule="exact"/>
              <w:ind w:left="718" w:firstLine="0" w:firstLineChars="0"/>
              <w:rPr>
                <w:rFonts w:eastAsia="Times New Roman"/>
                <w:color w:val="auto"/>
                <w:sz w:val="21"/>
                <w:szCs w:val="21"/>
              </w:rPr>
            </w:pPr>
            <w:r>
              <w:rPr>
                <w:rFonts w:eastAsia="Times New Roman"/>
                <w:color w:val="auto"/>
                <w:spacing w:val="2"/>
                <w:position w:val="3"/>
                <w:sz w:val="21"/>
                <w:szCs w:val="21"/>
              </w:rPr>
              <w:t xml:space="preserve">10 </w:t>
            </w:r>
            <w:r>
              <w:rPr>
                <w:rFonts w:eastAsia="Times New Roman"/>
                <w:color w:val="auto"/>
                <w:position w:val="3"/>
                <w:sz w:val="21"/>
                <w:szCs w:val="21"/>
              </w:rPr>
              <w:t>mg</w:t>
            </w:r>
            <w:r>
              <w:rPr>
                <w:rFonts w:eastAsia="Times New Roman"/>
                <w:color w:val="auto"/>
                <w:spacing w:val="2"/>
                <w:position w:val="3"/>
                <w:sz w:val="21"/>
                <w:szCs w:val="21"/>
              </w:rPr>
              <w:t>/m³</w:t>
            </w:r>
          </w:p>
        </w:tc>
        <w:tc>
          <w:tcPr>
            <w:tcW w:w="3303" w:type="dxa"/>
            <w:vMerge w:val="continue"/>
            <w:tcBorders>
              <w:top w:val="nil"/>
              <w:bottom w:val="nil"/>
            </w:tcBorders>
          </w:tcPr>
          <w:p>
            <w:pPr>
              <w:ind w:firstLine="0" w:firstLineChars="0"/>
              <w:rPr>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455" w:type="dxa"/>
            <w:vMerge w:val="restart"/>
            <w:tcBorders>
              <w:bottom w:val="nil"/>
            </w:tcBorders>
          </w:tcPr>
          <w:p>
            <w:pPr>
              <w:ind w:firstLine="0" w:firstLineChars="0"/>
              <w:jc w:val="center"/>
              <w:rPr>
                <w:color w:val="auto"/>
                <w:sz w:val="21"/>
                <w:szCs w:val="21"/>
              </w:rPr>
            </w:pPr>
          </w:p>
          <w:p>
            <w:pPr>
              <w:ind w:firstLine="0" w:firstLineChars="0"/>
              <w:jc w:val="center"/>
              <w:rPr>
                <w:color w:val="auto"/>
                <w:sz w:val="21"/>
                <w:szCs w:val="21"/>
              </w:rPr>
            </w:pPr>
            <w:r>
              <w:rPr>
                <w:color w:val="auto"/>
                <w:sz w:val="21"/>
                <w:szCs w:val="21"/>
              </w:rPr>
              <w:t>O</w:t>
            </w:r>
            <w:r>
              <w:rPr>
                <w:color w:val="auto"/>
                <w:sz w:val="21"/>
                <w:szCs w:val="21"/>
                <w:vertAlign w:val="subscript"/>
              </w:rPr>
              <w:t>3</w:t>
            </w:r>
          </w:p>
        </w:tc>
        <w:tc>
          <w:tcPr>
            <w:tcW w:w="2115" w:type="dxa"/>
          </w:tcPr>
          <w:p>
            <w:pPr>
              <w:ind w:firstLine="0" w:firstLineChars="0"/>
              <w:jc w:val="center"/>
              <w:rPr>
                <w:color w:val="auto"/>
                <w:sz w:val="21"/>
                <w:szCs w:val="21"/>
              </w:rPr>
            </w:pPr>
            <w:r>
              <w:rPr>
                <w:color w:val="auto"/>
                <w:sz w:val="21"/>
                <w:szCs w:val="21"/>
              </w:rPr>
              <w:t>1 小时平均</w:t>
            </w:r>
          </w:p>
        </w:tc>
        <w:tc>
          <w:tcPr>
            <w:tcW w:w="1965" w:type="dxa"/>
          </w:tcPr>
          <w:p>
            <w:pPr>
              <w:spacing w:before="65" w:line="275" w:lineRule="exact"/>
              <w:ind w:left="718" w:firstLine="0" w:firstLineChars="0"/>
              <w:rPr>
                <w:rFonts w:eastAsia="Times New Roman"/>
                <w:color w:val="auto"/>
                <w:sz w:val="21"/>
                <w:szCs w:val="21"/>
              </w:rPr>
            </w:pPr>
            <w:r>
              <w:rPr>
                <w:rFonts w:eastAsia="Times New Roman"/>
                <w:color w:val="auto"/>
                <w:spacing w:val="1"/>
                <w:position w:val="3"/>
                <w:sz w:val="21"/>
                <w:szCs w:val="21"/>
              </w:rPr>
              <w:t>160μg/m³</w:t>
            </w:r>
          </w:p>
        </w:tc>
        <w:tc>
          <w:tcPr>
            <w:tcW w:w="3303" w:type="dxa"/>
            <w:vMerge w:val="continue"/>
            <w:tcBorders>
              <w:top w:val="nil"/>
              <w:bottom w:val="nil"/>
            </w:tcBorders>
          </w:tcPr>
          <w:p>
            <w:pPr>
              <w:ind w:firstLine="0" w:firstLineChars="0"/>
              <w:rPr>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455" w:type="dxa"/>
            <w:vMerge w:val="continue"/>
            <w:tcBorders>
              <w:top w:val="nil"/>
            </w:tcBorders>
          </w:tcPr>
          <w:p>
            <w:pPr>
              <w:ind w:firstLine="0" w:firstLineChars="0"/>
              <w:jc w:val="center"/>
              <w:rPr>
                <w:color w:val="auto"/>
                <w:sz w:val="21"/>
                <w:szCs w:val="21"/>
              </w:rPr>
            </w:pPr>
          </w:p>
        </w:tc>
        <w:tc>
          <w:tcPr>
            <w:tcW w:w="2115" w:type="dxa"/>
          </w:tcPr>
          <w:p>
            <w:pPr>
              <w:ind w:firstLine="0" w:firstLineChars="0"/>
              <w:jc w:val="center"/>
              <w:rPr>
                <w:color w:val="auto"/>
                <w:sz w:val="21"/>
                <w:szCs w:val="21"/>
              </w:rPr>
            </w:pPr>
            <w:r>
              <w:rPr>
                <w:color w:val="auto"/>
                <w:sz w:val="21"/>
                <w:szCs w:val="21"/>
              </w:rPr>
              <w:t>日最大 8 小时平均</w:t>
            </w:r>
          </w:p>
        </w:tc>
        <w:tc>
          <w:tcPr>
            <w:tcW w:w="1965" w:type="dxa"/>
          </w:tcPr>
          <w:p>
            <w:pPr>
              <w:spacing w:before="64" w:line="274" w:lineRule="exact"/>
              <w:ind w:left="698" w:firstLine="0" w:firstLineChars="0"/>
              <w:rPr>
                <w:rFonts w:eastAsia="Times New Roman"/>
                <w:color w:val="auto"/>
                <w:sz w:val="21"/>
                <w:szCs w:val="21"/>
              </w:rPr>
            </w:pPr>
            <w:r>
              <w:rPr>
                <w:rFonts w:eastAsia="Times New Roman"/>
                <w:color w:val="auto"/>
                <w:spacing w:val="4"/>
                <w:position w:val="3"/>
                <w:sz w:val="21"/>
                <w:szCs w:val="21"/>
              </w:rPr>
              <w:t>200μg/m³</w:t>
            </w:r>
          </w:p>
        </w:tc>
        <w:tc>
          <w:tcPr>
            <w:tcW w:w="3303" w:type="dxa"/>
            <w:vMerge w:val="continue"/>
            <w:tcBorders>
              <w:top w:val="nil"/>
              <w:bottom w:val="nil"/>
            </w:tcBorders>
          </w:tcPr>
          <w:p>
            <w:pPr>
              <w:ind w:firstLine="0" w:firstLineChars="0"/>
              <w:rPr>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455" w:type="dxa"/>
            <w:vMerge w:val="restart"/>
            <w:tcBorders>
              <w:bottom w:val="nil"/>
            </w:tcBorders>
          </w:tcPr>
          <w:p>
            <w:pPr>
              <w:ind w:firstLine="0" w:firstLineChars="0"/>
              <w:jc w:val="center"/>
              <w:rPr>
                <w:color w:val="auto"/>
                <w:sz w:val="21"/>
                <w:szCs w:val="21"/>
              </w:rPr>
            </w:pPr>
          </w:p>
          <w:p>
            <w:pPr>
              <w:ind w:firstLine="0" w:firstLineChars="0"/>
              <w:jc w:val="center"/>
              <w:rPr>
                <w:color w:val="auto"/>
                <w:sz w:val="21"/>
                <w:szCs w:val="21"/>
              </w:rPr>
            </w:pPr>
            <w:r>
              <w:rPr>
                <w:color w:val="auto"/>
                <w:sz w:val="21"/>
                <w:szCs w:val="21"/>
              </w:rPr>
              <w:t>PM</w:t>
            </w:r>
            <w:r>
              <w:rPr>
                <w:color w:val="auto"/>
                <w:sz w:val="21"/>
                <w:szCs w:val="21"/>
                <w:vertAlign w:val="subscript"/>
              </w:rPr>
              <w:t>10</w:t>
            </w:r>
          </w:p>
        </w:tc>
        <w:tc>
          <w:tcPr>
            <w:tcW w:w="2115" w:type="dxa"/>
          </w:tcPr>
          <w:p>
            <w:pPr>
              <w:ind w:firstLine="0" w:firstLineChars="0"/>
              <w:jc w:val="center"/>
              <w:rPr>
                <w:color w:val="auto"/>
                <w:sz w:val="21"/>
                <w:szCs w:val="21"/>
              </w:rPr>
            </w:pPr>
            <w:r>
              <w:rPr>
                <w:color w:val="auto"/>
                <w:sz w:val="21"/>
                <w:szCs w:val="21"/>
              </w:rPr>
              <w:t>年均值</w:t>
            </w:r>
          </w:p>
        </w:tc>
        <w:tc>
          <w:tcPr>
            <w:tcW w:w="1965" w:type="dxa"/>
          </w:tcPr>
          <w:p>
            <w:pPr>
              <w:spacing w:before="65" w:line="274" w:lineRule="exact"/>
              <w:ind w:left="754" w:firstLine="0" w:firstLineChars="0"/>
              <w:rPr>
                <w:rFonts w:eastAsia="Times New Roman"/>
                <w:color w:val="auto"/>
                <w:sz w:val="21"/>
                <w:szCs w:val="21"/>
              </w:rPr>
            </w:pPr>
            <w:r>
              <w:rPr>
                <w:rFonts w:eastAsia="Times New Roman"/>
                <w:color w:val="auto"/>
                <w:spacing w:val="3"/>
                <w:position w:val="3"/>
                <w:sz w:val="21"/>
                <w:szCs w:val="21"/>
              </w:rPr>
              <w:t>70μg/m³</w:t>
            </w:r>
          </w:p>
        </w:tc>
        <w:tc>
          <w:tcPr>
            <w:tcW w:w="3303" w:type="dxa"/>
            <w:vMerge w:val="continue"/>
            <w:tcBorders>
              <w:top w:val="nil"/>
              <w:bottom w:val="nil"/>
            </w:tcBorders>
          </w:tcPr>
          <w:p>
            <w:pPr>
              <w:ind w:firstLine="0" w:firstLineChars="0"/>
              <w:rPr>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455" w:type="dxa"/>
            <w:vMerge w:val="continue"/>
            <w:tcBorders>
              <w:top w:val="nil"/>
            </w:tcBorders>
          </w:tcPr>
          <w:p>
            <w:pPr>
              <w:ind w:firstLine="0" w:firstLineChars="0"/>
              <w:jc w:val="center"/>
              <w:rPr>
                <w:color w:val="auto"/>
                <w:sz w:val="21"/>
                <w:szCs w:val="21"/>
              </w:rPr>
            </w:pPr>
          </w:p>
        </w:tc>
        <w:tc>
          <w:tcPr>
            <w:tcW w:w="2115" w:type="dxa"/>
          </w:tcPr>
          <w:p>
            <w:pPr>
              <w:ind w:firstLine="0" w:firstLineChars="0"/>
              <w:jc w:val="center"/>
              <w:rPr>
                <w:color w:val="auto"/>
                <w:sz w:val="21"/>
                <w:szCs w:val="21"/>
              </w:rPr>
            </w:pPr>
            <w:r>
              <w:rPr>
                <w:color w:val="auto"/>
                <w:sz w:val="21"/>
                <w:szCs w:val="21"/>
              </w:rPr>
              <w:t>24 小时平均</w:t>
            </w:r>
          </w:p>
        </w:tc>
        <w:tc>
          <w:tcPr>
            <w:tcW w:w="1965" w:type="dxa"/>
          </w:tcPr>
          <w:p>
            <w:pPr>
              <w:spacing w:before="66" w:line="274" w:lineRule="exact"/>
              <w:ind w:left="718" w:firstLine="0" w:firstLineChars="0"/>
              <w:rPr>
                <w:rFonts w:eastAsia="Times New Roman"/>
                <w:color w:val="auto"/>
                <w:sz w:val="21"/>
                <w:szCs w:val="21"/>
              </w:rPr>
            </w:pPr>
            <w:r>
              <w:rPr>
                <w:rFonts w:eastAsia="Times New Roman"/>
                <w:color w:val="auto"/>
                <w:spacing w:val="1"/>
                <w:position w:val="3"/>
                <w:sz w:val="21"/>
                <w:szCs w:val="21"/>
              </w:rPr>
              <w:t>150μg/m³</w:t>
            </w:r>
          </w:p>
        </w:tc>
        <w:tc>
          <w:tcPr>
            <w:tcW w:w="3303" w:type="dxa"/>
            <w:vMerge w:val="continue"/>
            <w:tcBorders>
              <w:top w:val="nil"/>
              <w:bottom w:val="nil"/>
            </w:tcBorders>
          </w:tcPr>
          <w:p>
            <w:pPr>
              <w:ind w:firstLine="0" w:firstLineChars="0"/>
              <w:rPr>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455" w:type="dxa"/>
            <w:vMerge w:val="restart"/>
            <w:tcBorders>
              <w:bottom w:val="nil"/>
            </w:tcBorders>
          </w:tcPr>
          <w:p>
            <w:pPr>
              <w:ind w:firstLine="0" w:firstLineChars="0"/>
              <w:jc w:val="center"/>
              <w:rPr>
                <w:color w:val="auto"/>
                <w:sz w:val="21"/>
                <w:szCs w:val="21"/>
              </w:rPr>
            </w:pPr>
          </w:p>
          <w:p>
            <w:pPr>
              <w:ind w:firstLine="0" w:firstLineChars="0"/>
              <w:jc w:val="center"/>
              <w:rPr>
                <w:color w:val="auto"/>
                <w:sz w:val="21"/>
                <w:szCs w:val="21"/>
              </w:rPr>
            </w:pPr>
            <w:r>
              <w:rPr>
                <w:color w:val="auto"/>
                <w:sz w:val="21"/>
                <w:szCs w:val="21"/>
              </w:rPr>
              <w:t>PM</w:t>
            </w:r>
            <w:r>
              <w:rPr>
                <w:color w:val="auto"/>
                <w:sz w:val="21"/>
                <w:szCs w:val="21"/>
                <w:vertAlign w:val="subscript"/>
              </w:rPr>
              <w:t>2.5</w:t>
            </w:r>
          </w:p>
        </w:tc>
        <w:tc>
          <w:tcPr>
            <w:tcW w:w="2115" w:type="dxa"/>
          </w:tcPr>
          <w:p>
            <w:pPr>
              <w:ind w:firstLine="0" w:firstLineChars="0"/>
              <w:jc w:val="center"/>
              <w:rPr>
                <w:color w:val="auto"/>
                <w:sz w:val="21"/>
                <w:szCs w:val="21"/>
              </w:rPr>
            </w:pPr>
            <w:r>
              <w:rPr>
                <w:color w:val="auto"/>
                <w:sz w:val="21"/>
                <w:szCs w:val="21"/>
              </w:rPr>
              <w:t>年均值</w:t>
            </w:r>
          </w:p>
        </w:tc>
        <w:tc>
          <w:tcPr>
            <w:tcW w:w="1965" w:type="dxa"/>
          </w:tcPr>
          <w:p>
            <w:pPr>
              <w:spacing w:before="65" w:line="274" w:lineRule="exact"/>
              <w:ind w:left="755" w:firstLine="0" w:firstLineChars="0"/>
              <w:rPr>
                <w:rFonts w:eastAsia="Times New Roman"/>
                <w:color w:val="auto"/>
                <w:sz w:val="21"/>
                <w:szCs w:val="21"/>
              </w:rPr>
            </w:pPr>
            <w:r>
              <w:rPr>
                <w:rFonts w:eastAsia="Times New Roman"/>
                <w:color w:val="auto"/>
                <w:spacing w:val="3"/>
                <w:position w:val="3"/>
                <w:sz w:val="21"/>
                <w:szCs w:val="21"/>
              </w:rPr>
              <w:t>35μg/m³</w:t>
            </w:r>
          </w:p>
        </w:tc>
        <w:tc>
          <w:tcPr>
            <w:tcW w:w="3303" w:type="dxa"/>
            <w:vMerge w:val="continue"/>
            <w:tcBorders>
              <w:top w:val="nil"/>
              <w:bottom w:val="nil"/>
            </w:tcBorders>
          </w:tcPr>
          <w:p>
            <w:pPr>
              <w:ind w:firstLine="0" w:firstLineChars="0"/>
              <w:rPr>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455" w:type="dxa"/>
            <w:vMerge w:val="continue"/>
            <w:tcBorders>
              <w:top w:val="nil"/>
            </w:tcBorders>
          </w:tcPr>
          <w:p>
            <w:pPr>
              <w:ind w:firstLine="0" w:firstLineChars="0"/>
              <w:jc w:val="center"/>
              <w:rPr>
                <w:color w:val="auto"/>
                <w:sz w:val="21"/>
                <w:szCs w:val="21"/>
              </w:rPr>
            </w:pPr>
          </w:p>
        </w:tc>
        <w:tc>
          <w:tcPr>
            <w:tcW w:w="2115" w:type="dxa"/>
          </w:tcPr>
          <w:p>
            <w:pPr>
              <w:ind w:firstLine="0" w:firstLineChars="0"/>
              <w:jc w:val="center"/>
              <w:rPr>
                <w:color w:val="auto"/>
                <w:sz w:val="21"/>
                <w:szCs w:val="21"/>
              </w:rPr>
            </w:pPr>
            <w:r>
              <w:rPr>
                <w:color w:val="auto"/>
                <w:sz w:val="21"/>
                <w:szCs w:val="21"/>
              </w:rPr>
              <w:t>24 小时平均</w:t>
            </w:r>
          </w:p>
        </w:tc>
        <w:tc>
          <w:tcPr>
            <w:tcW w:w="1965" w:type="dxa"/>
          </w:tcPr>
          <w:p>
            <w:pPr>
              <w:spacing w:before="66" w:line="274" w:lineRule="exact"/>
              <w:ind w:left="754" w:firstLine="0" w:firstLineChars="0"/>
              <w:rPr>
                <w:rFonts w:eastAsia="Times New Roman"/>
                <w:color w:val="auto"/>
                <w:sz w:val="21"/>
                <w:szCs w:val="21"/>
              </w:rPr>
            </w:pPr>
            <w:r>
              <w:rPr>
                <w:rFonts w:eastAsia="Times New Roman"/>
                <w:color w:val="auto"/>
                <w:spacing w:val="3"/>
                <w:position w:val="3"/>
                <w:sz w:val="21"/>
                <w:szCs w:val="21"/>
              </w:rPr>
              <w:t>75μg/m³</w:t>
            </w:r>
          </w:p>
        </w:tc>
        <w:tc>
          <w:tcPr>
            <w:tcW w:w="3303" w:type="dxa"/>
            <w:vMerge w:val="continue"/>
            <w:tcBorders>
              <w:top w:val="nil"/>
              <w:bottom w:val="nil"/>
            </w:tcBorders>
          </w:tcPr>
          <w:p>
            <w:pPr>
              <w:ind w:firstLine="0" w:firstLineChars="0"/>
              <w:rPr>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455" w:type="dxa"/>
            <w:vMerge w:val="restart"/>
            <w:tcBorders>
              <w:bottom w:val="nil"/>
            </w:tcBorders>
          </w:tcPr>
          <w:p>
            <w:pPr>
              <w:ind w:firstLine="0" w:firstLineChars="0"/>
              <w:jc w:val="center"/>
              <w:rPr>
                <w:color w:val="auto"/>
                <w:sz w:val="21"/>
                <w:szCs w:val="21"/>
              </w:rPr>
            </w:pPr>
          </w:p>
          <w:p>
            <w:pPr>
              <w:ind w:firstLine="0" w:firstLineChars="0"/>
              <w:jc w:val="center"/>
              <w:rPr>
                <w:color w:val="auto"/>
                <w:sz w:val="21"/>
                <w:szCs w:val="21"/>
              </w:rPr>
            </w:pPr>
            <w:r>
              <w:rPr>
                <w:color w:val="auto"/>
                <w:sz w:val="21"/>
                <w:szCs w:val="21"/>
              </w:rPr>
              <w:t>TSP</w:t>
            </w:r>
          </w:p>
        </w:tc>
        <w:tc>
          <w:tcPr>
            <w:tcW w:w="2115" w:type="dxa"/>
          </w:tcPr>
          <w:p>
            <w:pPr>
              <w:ind w:firstLine="0" w:firstLineChars="0"/>
              <w:jc w:val="center"/>
              <w:rPr>
                <w:color w:val="auto"/>
                <w:sz w:val="21"/>
                <w:szCs w:val="21"/>
              </w:rPr>
            </w:pPr>
            <w:r>
              <w:rPr>
                <w:color w:val="auto"/>
                <w:sz w:val="21"/>
                <w:szCs w:val="21"/>
              </w:rPr>
              <w:t>年均值</w:t>
            </w:r>
          </w:p>
        </w:tc>
        <w:tc>
          <w:tcPr>
            <w:tcW w:w="1965" w:type="dxa"/>
          </w:tcPr>
          <w:p>
            <w:pPr>
              <w:spacing w:before="64" w:line="274" w:lineRule="exact"/>
              <w:ind w:left="698" w:firstLine="0" w:firstLineChars="0"/>
              <w:rPr>
                <w:rFonts w:eastAsia="Times New Roman"/>
                <w:color w:val="auto"/>
                <w:sz w:val="21"/>
                <w:szCs w:val="21"/>
              </w:rPr>
            </w:pPr>
            <w:r>
              <w:rPr>
                <w:rFonts w:eastAsia="Times New Roman"/>
                <w:color w:val="auto"/>
                <w:spacing w:val="4"/>
                <w:position w:val="3"/>
                <w:sz w:val="21"/>
                <w:szCs w:val="21"/>
              </w:rPr>
              <w:t>200μg/m³</w:t>
            </w:r>
          </w:p>
        </w:tc>
        <w:tc>
          <w:tcPr>
            <w:tcW w:w="3303" w:type="dxa"/>
            <w:vMerge w:val="continue"/>
            <w:tcBorders>
              <w:top w:val="nil"/>
              <w:bottom w:val="nil"/>
            </w:tcBorders>
          </w:tcPr>
          <w:p>
            <w:pPr>
              <w:ind w:firstLine="0" w:firstLineChars="0"/>
              <w:rPr>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455" w:type="dxa"/>
            <w:vMerge w:val="continue"/>
            <w:tcBorders>
              <w:top w:val="nil"/>
            </w:tcBorders>
          </w:tcPr>
          <w:p>
            <w:pPr>
              <w:ind w:firstLine="0" w:firstLineChars="0"/>
              <w:jc w:val="center"/>
              <w:rPr>
                <w:color w:val="auto"/>
                <w:sz w:val="21"/>
                <w:szCs w:val="21"/>
              </w:rPr>
            </w:pPr>
          </w:p>
        </w:tc>
        <w:tc>
          <w:tcPr>
            <w:tcW w:w="2115" w:type="dxa"/>
          </w:tcPr>
          <w:p>
            <w:pPr>
              <w:ind w:firstLine="0" w:firstLineChars="0"/>
              <w:jc w:val="center"/>
              <w:rPr>
                <w:color w:val="auto"/>
                <w:sz w:val="21"/>
                <w:szCs w:val="21"/>
              </w:rPr>
            </w:pPr>
            <w:r>
              <w:rPr>
                <w:color w:val="auto"/>
                <w:sz w:val="21"/>
                <w:szCs w:val="21"/>
              </w:rPr>
              <w:t>24 小时平均</w:t>
            </w:r>
          </w:p>
        </w:tc>
        <w:tc>
          <w:tcPr>
            <w:tcW w:w="1965" w:type="dxa"/>
          </w:tcPr>
          <w:p>
            <w:pPr>
              <w:spacing w:before="65" w:line="274" w:lineRule="exact"/>
              <w:ind w:left="702" w:firstLine="0" w:firstLineChars="0"/>
              <w:rPr>
                <w:rFonts w:eastAsia="Times New Roman"/>
                <w:color w:val="auto"/>
                <w:sz w:val="21"/>
                <w:szCs w:val="21"/>
              </w:rPr>
            </w:pPr>
            <w:r>
              <w:rPr>
                <w:rFonts w:eastAsia="Times New Roman"/>
                <w:color w:val="auto"/>
                <w:spacing w:val="3"/>
                <w:position w:val="3"/>
                <w:sz w:val="21"/>
                <w:szCs w:val="21"/>
              </w:rPr>
              <w:t>300μg/m³</w:t>
            </w:r>
          </w:p>
        </w:tc>
        <w:tc>
          <w:tcPr>
            <w:tcW w:w="3303" w:type="dxa"/>
            <w:vMerge w:val="continue"/>
            <w:tcBorders>
              <w:top w:val="nil"/>
              <w:bottom w:val="nil"/>
            </w:tcBorders>
          </w:tcPr>
          <w:p>
            <w:pPr>
              <w:ind w:firstLine="0" w:firstLineChars="0"/>
              <w:rPr>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455" w:type="dxa"/>
            <w:vMerge w:val="restart"/>
            <w:tcBorders>
              <w:bottom w:val="nil"/>
            </w:tcBorders>
          </w:tcPr>
          <w:p>
            <w:pPr>
              <w:ind w:firstLine="0" w:firstLineChars="0"/>
              <w:jc w:val="center"/>
              <w:rPr>
                <w:color w:val="auto"/>
                <w:sz w:val="21"/>
                <w:szCs w:val="21"/>
              </w:rPr>
            </w:pPr>
          </w:p>
          <w:p>
            <w:pPr>
              <w:ind w:firstLine="0" w:firstLineChars="0"/>
              <w:jc w:val="center"/>
              <w:rPr>
                <w:color w:val="auto"/>
                <w:sz w:val="21"/>
                <w:szCs w:val="21"/>
              </w:rPr>
            </w:pPr>
            <w:r>
              <w:rPr>
                <w:color w:val="auto"/>
                <w:sz w:val="21"/>
                <w:szCs w:val="21"/>
              </w:rPr>
              <w:t>NO</w:t>
            </w:r>
            <w:r>
              <w:rPr>
                <w:color w:val="auto"/>
                <w:sz w:val="21"/>
                <w:szCs w:val="21"/>
                <w:vertAlign w:val="subscript"/>
              </w:rPr>
              <w:t>X</w:t>
            </w:r>
          </w:p>
        </w:tc>
        <w:tc>
          <w:tcPr>
            <w:tcW w:w="2115" w:type="dxa"/>
          </w:tcPr>
          <w:p>
            <w:pPr>
              <w:ind w:firstLine="0" w:firstLineChars="0"/>
              <w:jc w:val="center"/>
              <w:rPr>
                <w:color w:val="auto"/>
                <w:sz w:val="21"/>
                <w:szCs w:val="21"/>
              </w:rPr>
            </w:pPr>
            <w:r>
              <w:rPr>
                <w:color w:val="auto"/>
                <w:sz w:val="21"/>
                <w:szCs w:val="21"/>
              </w:rPr>
              <w:t>年均值</w:t>
            </w:r>
          </w:p>
        </w:tc>
        <w:tc>
          <w:tcPr>
            <w:tcW w:w="1965" w:type="dxa"/>
          </w:tcPr>
          <w:p>
            <w:pPr>
              <w:spacing w:before="66" w:line="274" w:lineRule="exact"/>
              <w:ind w:left="756" w:firstLine="0" w:firstLineChars="0"/>
              <w:rPr>
                <w:rFonts w:eastAsia="Times New Roman"/>
                <w:color w:val="auto"/>
                <w:sz w:val="21"/>
                <w:szCs w:val="21"/>
              </w:rPr>
            </w:pPr>
            <w:r>
              <w:rPr>
                <w:rFonts w:eastAsia="Times New Roman"/>
                <w:color w:val="auto"/>
                <w:spacing w:val="3"/>
                <w:position w:val="3"/>
                <w:sz w:val="21"/>
                <w:szCs w:val="21"/>
              </w:rPr>
              <w:t>50μg/m³</w:t>
            </w:r>
          </w:p>
        </w:tc>
        <w:tc>
          <w:tcPr>
            <w:tcW w:w="3303" w:type="dxa"/>
            <w:vMerge w:val="continue"/>
            <w:tcBorders>
              <w:top w:val="nil"/>
              <w:bottom w:val="nil"/>
            </w:tcBorders>
          </w:tcPr>
          <w:p>
            <w:pPr>
              <w:ind w:firstLine="0" w:firstLineChars="0"/>
              <w:rPr>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455" w:type="dxa"/>
            <w:vMerge w:val="continue"/>
            <w:tcBorders>
              <w:top w:val="nil"/>
              <w:bottom w:val="nil"/>
            </w:tcBorders>
          </w:tcPr>
          <w:p>
            <w:pPr>
              <w:ind w:firstLine="0" w:firstLineChars="0"/>
              <w:jc w:val="center"/>
              <w:rPr>
                <w:color w:val="auto"/>
                <w:sz w:val="21"/>
                <w:szCs w:val="21"/>
              </w:rPr>
            </w:pPr>
          </w:p>
        </w:tc>
        <w:tc>
          <w:tcPr>
            <w:tcW w:w="2115" w:type="dxa"/>
          </w:tcPr>
          <w:p>
            <w:pPr>
              <w:ind w:firstLine="0" w:firstLineChars="0"/>
              <w:jc w:val="center"/>
              <w:rPr>
                <w:color w:val="auto"/>
                <w:sz w:val="21"/>
                <w:szCs w:val="21"/>
              </w:rPr>
            </w:pPr>
            <w:r>
              <w:rPr>
                <w:color w:val="auto"/>
                <w:sz w:val="21"/>
                <w:szCs w:val="21"/>
              </w:rPr>
              <w:t>24 小时平均</w:t>
            </w:r>
          </w:p>
        </w:tc>
        <w:tc>
          <w:tcPr>
            <w:tcW w:w="1965" w:type="dxa"/>
          </w:tcPr>
          <w:p>
            <w:pPr>
              <w:spacing w:before="65" w:line="274" w:lineRule="exact"/>
              <w:ind w:left="718" w:firstLine="0" w:firstLineChars="0"/>
              <w:rPr>
                <w:rFonts w:eastAsia="Times New Roman"/>
                <w:color w:val="auto"/>
                <w:sz w:val="21"/>
                <w:szCs w:val="21"/>
              </w:rPr>
            </w:pPr>
            <w:r>
              <w:rPr>
                <w:rFonts w:eastAsia="Times New Roman"/>
                <w:color w:val="auto"/>
                <w:spacing w:val="1"/>
                <w:position w:val="3"/>
                <w:sz w:val="21"/>
                <w:szCs w:val="21"/>
              </w:rPr>
              <w:t>100μg/m³</w:t>
            </w:r>
          </w:p>
        </w:tc>
        <w:tc>
          <w:tcPr>
            <w:tcW w:w="3303" w:type="dxa"/>
            <w:vMerge w:val="continue"/>
            <w:tcBorders>
              <w:top w:val="nil"/>
              <w:bottom w:val="nil"/>
            </w:tcBorders>
          </w:tcPr>
          <w:p>
            <w:pPr>
              <w:ind w:firstLine="0" w:firstLineChars="0"/>
              <w:rPr>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455" w:type="dxa"/>
            <w:vMerge w:val="continue"/>
            <w:tcBorders>
              <w:top w:val="nil"/>
            </w:tcBorders>
          </w:tcPr>
          <w:p>
            <w:pPr>
              <w:ind w:firstLine="0" w:firstLineChars="0"/>
              <w:jc w:val="center"/>
              <w:rPr>
                <w:color w:val="auto"/>
                <w:sz w:val="21"/>
                <w:szCs w:val="21"/>
              </w:rPr>
            </w:pPr>
          </w:p>
        </w:tc>
        <w:tc>
          <w:tcPr>
            <w:tcW w:w="2115" w:type="dxa"/>
          </w:tcPr>
          <w:p>
            <w:pPr>
              <w:ind w:firstLine="0" w:firstLineChars="0"/>
              <w:jc w:val="center"/>
              <w:rPr>
                <w:color w:val="auto"/>
                <w:sz w:val="21"/>
                <w:szCs w:val="21"/>
              </w:rPr>
            </w:pPr>
            <w:r>
              <w:rPr>
                <w:color w:val="auto"/>
                <w:sz w:val="21"/>
                <w:szCs w:val="21"/>
              </w:rPr>
              <w:t>1 小时平均</w:t>
            </w:r>
          </w:p>
        </w:tc>
        <w:tc>
          <w:tcPr>
            <w:tcW w:w="1965" w:type="dxa"/>
          </w:tcPr>
          <w:p>
            <w:pPr>
              <w:spacing w:before="66" w:line="274" w:lineRule="exact"/>
              <w:ind w:left="698" w:firstLine="0" w:firstLineChars="0"/>
              <w:rPr>
                <w:rFonts w:eastAsia="Times New Roman"/>
                <w:color w:val="auto"/>
                <w:sz w:val="21"/>
                <w:szCs w:val="21"/>
              </w:rPr>
            </w:pPr>
            <w:r>
              <w:rPr>
                <w:rFonts w:eastAsia="Times New Roman"/>
                <w:color w:val="auto"/>
                <w:spacing w:val="4"/>
                <w:position w:val="3"/>
                <w:sz w:val="21"/>
                <w:szCs w:val="21"/>
              </w:rPr>
              <w:t>250μg/m³</w:t>
            </w:r>
          </w:p>
        </w:tc>
        <w:tc>
          <w:tcPr>
            <w:tcW w:w="3303" w:type="dxa"/>
            <w:vMerge w:val="continue"/>
            <w:tcBorders>
              <w:top w:val="nil"/>
              <w:bottom w:val="nil"/>
            </w:tcBorders>
          </w:tcPr>
          <w:p>
            <w:pPr>
              <w:ind w:firstLine="0" w:firstLineChars="0"/>
              <w:rPr>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55" w:type="dxa"/>
            <w:vMerge w:val="restart"/>
            <w:tcBorders>
              <w:bottom w:val="nil"/>
            </w:tcBorders>
          </w:tcPr>
          <w:p>
            <w:pPr>
              <w:ind w:firstLine="0" w:firstLineChars="0"/>
              <w:jc w:val="center"/>
              <w:rPr>
                <w:color w:val="auto"/>
                <w:sz w:val="21"/>
                <w:szCs w:val="21"/>
              </w:rPr>
            </w:pPr>
            <w:r>
              <w:rPr>
                <w:color w:val="auto"/>
                <w:sz w:val="21"/>
                <w:szCs w:val="21"/>
              </w:rPr>
              <w:t>苯并[a]芘</w:t>
            </w:r>
          </w:p>
        </w:tc>
        <w:tc>
          <w:tcPr>
            <w:tcW w:w="2115" w:type="dxa"/>
          </w:tcPr>
          <w:p>
            <w:pPr>
              <w:ind w:firstLine="0" w:firstLineChars="0"/>
              <w:jc w:val="center"/>
              <w:rPr>
                <w:color w:val="auto"/>
                <w:sz w:val="21"/>
                <w:szCs w:val="21"/>
              </w:rPr>
            </w:pPr>
            <w:r>
              <w:rPr>
                <w:color w:val="auto"/>
                <w:sz w:val="21"/>
                <w:szCs w:val="21"/>
              </w:rPr>
              <w:t>年均值</w:t>
            </w:r>
          </w:p>
        </w:tc>
        <w:tc>
          <w:tcPr>
            <w:tcW w:w="1965" w:type="dxa"/>
          </w:tcPr>
          <w:p>
            <w:pPr>
              <w:spacing w:before="64" w:line="275" w:lineRule="exact"/>
              <w:ind w:left="622" w:firstLine="0" w:firstLineChars="0"/>
              <w:rPr>
                <w:rFonts w:eastAsia="Times New Roman"/>
                <w:color w:val="auto"/>
                <w:sz w:val="21"/>
                <w:szCs w:val="21"/>
              </w:rPr>
            </w:pPr>
            <w:r>
              <w:rPr>
                <w:rFonts w:eastAsia="Times New Roman"/>
                <w:color w:val="auto"/>
                <w:spacing w:val="3"/>
                <w:position w:val="3"/>
                <w:sz w:val="21"/>
                <w:szCs w:val="21"/>
              </w:rPr>
              <w:t>0.001μg/m³</w:t>
            </w:r>
          </w:p>
        </w:tc>
        <w:tc>
          <w:tcPr>
            <w:tcW w:w="3303" w:type="dxa"/>
            <w:vMerge w:val="continue"/>
            <w:tcBorders>
              <w:top w:val="nil"/>
              <w:bottom w:val="nil"/>
            </w:tcBorders>
          </w:tcPr>
          <w:p>
            <w:pPr>
              <w:ind w:firstLine="0" w:firstLineChars="0"/>
              <w:rPr>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455" w:type="dxa"/>
            <w:vMerge w:val="continue"/>
            <w:tcBorders>
              <w:top w:val="nil"/>
            </w:tcBorders>
          </w:tcPr>
          <w:p>
            <w:pPr>
              <w:ind w:firstLine="0" w:firstLineChars="0"/>
              <w:jc w:val="center"/>
              <w:rPr>
                <w:color w:val="auto"/>
                <w:sz w:val="21"/>
                <w:szCs w:val="21"/>
              </w:rPr>
            </w:pPr>
          </w:p>
        </w:tc>
        <w:tc>
          <w:tcPr>
            <w:tcW w:w="2115" w:type="dxa"/>
          </w:tcPr>
          <w:p>
            <w:pPr>
              <w:ind w:firstLine="0" w:firstLineChars="0"/>
              <w:jc w:val="center"/>
              <w:rPr>
                <w:color w:val="auto"/>
                <w:sz w:val="21"/>
                <w:szCs w:val="21"/>
              </w:rPr>
            </w:pPr>
            <w:r>
              <w:rPr>
                <w:color w:val="auto"/>
                <w:sz w:val="21"/>
                <w:szCs w:val="21"/>
              </w:rPr>
              <w:t>24 小时平均</w:t>
            </w:r>
          </w:p>
        </w:tc>
        <w:tc>
          <w:tcPr>
            <w:tcW w:w="1965" w:type="dxa"/>
          </w:tcPr>
          <w:p>
            <w:pPr>
              <w:spacing w:before="66" w:line="275" w:lineRule="exact"/>
              <w:ind w:left="569" w:firstLine="0" w:firstLineChars="0"/>
              <w:rPr>
                <w:rFonts w:eastAsia="Times New Roman"/>
                <w:color w:val="auto"/>
                <w:sz w:val="21"/>
                <w:szCs w:val="21"/>
              </w:rPr>
            </w:pPr>
            <w:r>
              <w:rPr>
                <w:rFonts w:eastAsia="Times New Roman"/>
                <w:color w:val="auto"/>
                <w:spacing w:val="3"/>
                <w:position w:val="3"/>
                <w:sz w:val="21"/>
                <w:szCs w:val="21"/>
              </w:rPr>
              <w:t>0.0025μg/m³</w:t>
            </w:r>
          </w:p>
        </w:tc>
        <w:tc>
          <w:tcPr>
            <w:tcW w:w="3303" w:type="dxa"/>
            <w:vMerge w:val="continue"/>
            <w:tcBorders>
              <w:top w:val="nil"/>
            </w:tcBorders>
          </w:tcPr>
          <w:p>
            <w:pPr>
              <w:ind w:firstLine="0" w:firstLineChars="0"/>
              <w:rPr>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3" w:hRule="atLeast"/>
        </w:trPr>
        <w:tc>
          <w:tcPr>
            <w:tcW w:w="1455" w:type="dxa"/>
          </w:tcPr>
          <w:p>
            <w:pPr>
              <w:ind w:firstLine="0" w:firstLineChars="0"/>
              <w:jc w:val="center"/>
              <w:rPr>
                <w:color w:val="auto"/>
                <w:sz w:val="21"/>
                <w:szCs w:val="21"/>
              </w:rPr>
            </w:pPr>
          </w:p>
          <w:p>
            <w:pPr>
              <w:ind w:firstLine="0" w:firstLineChars="0"/>
              <w:jc w:val="center"/>
              <w:rPr>
                <w:color w:val="auto"/>
                <w:sz w:val="21"/>
                <w:szCs w:val="21"/>
              </w:rPr>
            </w:pPr>
          </w:p>
          <w:p>
            <w:pPr>
              <w:ind w:firstLine="0" w:firstLineChars="0"/>
              <w:jc w:val="center"/>
              <w:rPr>
                <w:color w:val="auto"/>
                <w:sz w:val="21"/>
                <w:szCs w:val="21"/>
              </w:rPr>
            </w:pPr>
            <w:r>
              <w:rPr>
                <w:color w:val="auto"/>
                <w:sz w:val="21"/>
                <w:szCs w:val="21"/>
              </w:rPr>
              <w:t>TVOC</w:t>
            </w:r>
          </w:p>
        </w:tc>
        <w:tc>
          <w:tcPr>
            <w:tcW w:w="2115" w:type="dxa"/>
          </w:tcPr>
          <w:p>
            <w:pPr>
              <w:ind w:firstLine="0" w:firstLineChars="0"/>
              <w:jc w:val="center"/>
              <w:rPr>
                <w:color w:val="auto"/>
                <w:sz w:val="21"/>
                <w:szCs w:val="21"/>
              </w:rPr>
            </w:pPr>
          </w:p>
          <w:p>
            <w:pPr>
              <w:ind w:firstLine="0" w:firstLineChars="0"/>
              <w:jc w:val="center"/>
              <w:rPr>
                <w:color w:val="auto"/>
                <w:sz w:val="21"/>
                <w:szCs w:val="21"/>
              </w:rPr>
            </w:pPr>
          </w:p>
          <w:p>
            <w:pPr>
              <w:ind w:firstLine="0" w:firstLineChars="0"/>
              <w:jc w:val="center"/>
              <w:rPr>
                <w:color w:val="auto"/>
                <w:sz w:val="21"/>
                <w:szCs w:val="21"/>
              </w:rPr>
            </w:pPr>
            <w:r>
              <w:rPr>
                <w:color w:val="auto"/>
                <w:sz w:val="21"/>
                <w:szCs w:val="21"/>
              </w:rPr>
              <w:t>8 小时平均</w:t>
            </w:r>
          </w:p>
        </w:tc>
        <w:tc>
          <w:tcPr>
            <w:tcW w:w="1965" w:type="dxa"/>
          </w:tcPr>
          <w:p>
            <w:pPr>
              <w:spacing w:line="311" w:lineRule="auto"/>
              <w:ind w:firstLine="0" w:firstLineChars="0"/>
              <w:rPr>
                <w:color w:val="auto"/>
                <w:sz w:val="21"/>
                <w:szCs w:val="21"/>
              </w:rPr>
            </w:pPr>
          </w:p>
          <w:p>
            <w:pPr>
              <w:spacing w:line="312" w:lineRule="auto"/>
              <w:ind w:firstLine="0" w:firstLineChars="0"/>
              <w:rPr>
                <w:color w:val="auto"/>
                <w:sz w:val="21"/>
                <w:szCs w:val="21"/>
              </w:rPr>
            </w:pPr>
          </w:p>
          <w:p>
            <w:pPr>
              <w:spacing w:before="57" w:line="275" w:lineRule="exact"/>
              <w:ind w:left="702" w:firstLine="0" w:firstLineChars="0"/>
              <w:rPr>
                <w:rFonts w:eastAsia="Times New Roman"/>
                <w:color w:val="auto"/>
                <w:sz w:val="21"/>
                <w:szCs w:val="21"/>
              </w:rPr>
            </w:pPr>
            <w:r>
              <w:rPr>
                <w:rFonts w:eastAsia="Times New Roman"/>
                <w:color w:val="auto"/>
                <w:spacing w:val="3"/>
                <w:position w:val="3"/>
                <w:sz w:val="21"/>
                <w:szCs w:val="21"/>
              </w:rPr>
              <w:t>600μg/m³</w:t>
            </w:r>
          </w:p>
        </w:tc>
        <w:tc>
          <w:tcPr>
            <w:tcW w:w="3303" w:type="dxa"/>
          </w:tcPr>
          <w:p>
            <w:pPr>
              <w:pStyle w:val="68"/>
              <w:spacing w:before="35"/>
              <w:ind w:left="119" w:right="212" w:firstLine="0" w:firstLineChars="0"/>
              <w:rPr>
                <w:rFonts w:ascii="Times New Roman" w:hAnsi="Times New Roman" w:cs="Times New Roman"/>
                <w:color w:val="auto"/>
                <w:sz w:val="21"/>
                <w:szCs w:val="21"/>
                <w:lang w:eastAsia="zh-CN"/>
              </w:rPr>
            </w:pPr>
            <w:r>
              <w:rPr>
                <w:rFonts w:ascii="Times New Roman" w:hAnsi="Times New Roman" w:cs="Times New Roman"/>
                <w:color w:val="auto"/>
                <w:spacing w:val="8"/>
                <w:sz w:val="21"/>
                <w:szCs w:val="21"/>
                <w:lang w:eastAsia="zh-CN"/>
              </w:rPr>
              <w:t>《环境影响评价技术</w:t>
            </w:r>
            <w:r>
              <w:rPr>
                <w:rFonts w:ascii="Times New Roman" w:hAnsi="Times New Roman" w:cs="Times New Roman"/>
                <w:color w:val="auto"/>
                <w:spacing w:val="2"/>
                <w:sz w:val="21"/>
                <w:szCs w:val="21"/>
                <w:lang w:eastAsia="zh-CN"/>
              </w:rPr>
              <w:t xml:space="preserve"> </w:t>
            </w:r>
            <w:r>
              <w:rPr>
                <w:rFonts w:ascii="Times New Roman" w:hAnsi="Times New Roman" w:cs="Times New Roman"/>
                <w:color w:val="auto"/>
                <w:spacing w:val="6"/>
                <w:sz w:val="21"/>
                <w:szCs w:val="21"/>
                <w:lang w:eastAsia="zh-CN"/>
              </w:rPr>
              <w:t>导则大气环境》</w:t>
            </w:r>
            <w:r>
              <w:rPr>
                <w:rFonts w:ascii="Times New Roman" w:hAnsi="Times New Roman" w:cs="Times New Roman"/>
                <w:color w:val="auto"/>
                <w:spacing w:val="5"/>
                <w:sz w:val="21"/>
                <w:szCs w:val="21"/>
                <w:lang w:eastAsia="zh-CN"/>
              </w:rPr>
              <w:t>（</w:t>
            </w:r>
            <w:r>
              <w:rPr>
                <w:rFonts w:ascii="Times New Roman" w:hAnsi="Times New Roman" w:eastAsia="Times New Roman" w:cs="Times New Roman"/>
                <w:color w:val="auto"/>
                <w:sz w:val="21"/>
                <w:szCs w:val="21"/>
                <w:lang w:eastAsia="zh-CN"/>
              </w:rPr>
              <w:t>HJ</w:t>
            </w:r>
            <w:r>
              <w:rPr>
                <w:rFonts w:ascii="Times New Roman" w:hAnsi="Times New Roman" w:eastAsia="Times New Roman" w:cs="Times New Roman"/>
                <w:color w:val="auto"/>
                <w:spacing w:val="5"/>
                <w:sz w:val="21"/>
                <w:szCs w:val="21"/>
                <w:lang w:eastAsia="zh-CN"/>
              </w:rPr>
              <w:t>2.2-2018</w:t>
            </w:r>
            <w:r>
              <w:rPr>
                <w:rFonts w:ascii="Times New Roman" w:hAnsi="Times New Roman" w:cs="Times New Roman"/>
                <w:color w:val="auto"/>
                <w:spacing w:val="5"/>
                <w:sz w:val="21"/>
                <w:szCs w:val="21"/>
                <w:lang w:eastAsia="zh-CN"/>
              </w:rPr>
              <w:t>）附录</w:t>
            </w:r>
            <w:r>
              <w:rPr>
                <w:rFonts w:ascii="Times New Roman" w:hAnsi="Times New Roman" w:eastAsia="Times New Roman" w:cs="Times New Roman"/>
                <w:color w:val="auto"/>
                <w:spacing w:val="5"/>
                <w:sz w:val="21"/>
                <w:szCs w:val="21"/>
                <w:lang w:eastAsia="zh-CN"/>
              </w:rPr>
              <w:t>D</w:t>
            </w:r>
            <w:r>
              <w:rPr>
                <w:rFonts w:ascii="Times New Roman" w:hAnsi="Times New Roman" w:eastAsia="Times New Roman" w:cs="Times New Roman"/>
                <w:color w:val="auto"/>
                <w:spacing w:val="9"/>
                <w:sz w:val="21"/>
                <w:szCs w:val="21"/>
                <w:lang w:eastAsia="zh-CN"/>
              </w:rPr>
              <w:t xml:space="preserve"> </w:t>
            </w:r>
            <w:r>
              <w:rPr>
                <w:rFonts w:ascii="Times New Roman" w:hAnsi="Times New Roman" w:cs="Times New Roman"/>
                <w:color w:val="auto"/>
                <w:spacing w:val="8"/>
                <w:sz w:val="21"/>
                <w:szCs w:val="21"/>
                <w:lang w:eastAsia="zh-CN"/>
              </w:rPr>
              <w:t>（资料性附录）其他污染物空气质量浓度</w:t>
            </w:r>
            <w:r>
              <w:rPr>
                <w:rFonts w:ascii="Times New Roman" w:hAnsi="Times New Roman" w:cs="Times New Roman"/>
                <w:color w:val="auto"/>
                <w:spacing w:val="6"/>
                <w:sz w:val="21"/>
                <w:szCs w:val="21"/>
                <w:lang w:eastAsia="zh-CN"/>
              </w:rPr>
              <w:t>参考限值</w:t>
            </w:r>
          </w:p>
        </w:tc>
      </w:tr>
    </w:tbl>
    <w:p>
      <w:pPr>
        <w:ind w:firstLine="480"/>
        <w:rPr>
          <w:color w:val="auto"/>
        </w:rPr>
      </w:pPr>
    </w:p>
    <w:p>
      <w:pPr>
        <w:ind w:firstLine="480"/>
        <w:rPr>
          <w:color w:val="auto"/>
        </w:rPr>
      </w:pPr>
    </w:p>
    <w:p>
      <w:pPr>
        <w:pStyle w:val="6"/>
        <w:ind w:firstLine="482"/>
        <w:rPr>
          <w:color w:val="auto"/>
        </w:rPr>
      </w:pPr>
      <w:r>
        <w:rPr>
          <w:rFonts w:hint="eastAsia"/>
          <w:color w:val="auto"/>
        </w:rPr>
        <w:t>1.4.2 大气污染物排放标准</w:t>
      </w:r>
    </w:p>
    <w:p>
      <w:pPr>
        <w:ind w:firstLine="480"/>
        <w:rPr>
          <w:color w:val="auto"/>
        </w:rPr>
      </w:pPr>
      <w:r>
        <w:rPr>
          <w:rFonts w:hint="eastAsia" w:ascii="宋体" w:hAnsi="宋体" w:cs="宋体"/>
          <w:bCs/>
          <w:color w:val="auto"/>
        </w:rPr>
        <w:t>项目采取间接加热的方式对骨料进行烘干加热，因此项目骨料烘干工序及沥青拌合工序废气应执行 《大气污染物综合排放标准》(GB16297-1996)二级排放限值，具体标准详见表1-2。</w:t>
      </w:r>
    </w:p>
    <w:p>
      <w:pPr>
        <w:ind w:firstLine="1476" w:firstLineChars="700"/>
        <w:rPr>
          <w:rFonts w:hint="eastAsia" w:ascii="宋体" w:hAnsi="宋体" w:cs="宋体"/>
          <w:b/>
          <w:color w:val="auto"/>
          <w:sz w:val="21"/>
          <w:szCs w:val="21"/>
        </w:rPr>
      </w:pPr>
      <w:r>
        <w:rPr>
          <w:rFonts w:hint="eastAsia" w:ascii="宋体" w:hAnsi="宋体" w:cs="宋体"/>
          <w:b/>
          <w:color w:val="auto"/>
          <w:sz w:val="21"/>
          <w:szCs w:val="21"/>
        </w:rPr>
        <w:t xml:space="preserve">表1-2 大气污染物综合排放标准一览表      </w:t>
      </w:r>
    </w:p>
    <w:tbl>
      <w:tblPr>
        <w:tblStyle w:val="3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1"/>
        <w:gridCol w:w="2180"/>
        <w:gridCol w:w="2188"/>
        <w:gridCol w:w="274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8" w:type="pct"/>
            <w:vMerge w:val="restart"/>
            <w:tcBorders>
              <w:tl2br w:val="nil"/>
              <w:tr2bl w:val="nil"/>
            </w:tcBorders>
            <w:vAlign w:val="center"/>
          </w:tcPr>
          <w:p>
            <w:pPr>
              <w:ind w:firstLine="0" w:firstLineChars="0"/>
              <w:jc w:val="center"/>
              <w:rPr>
                <w:color w:val="auto"/>
                <w:sz w:val="21"/>
                <w:szCs w:val="21"/>
              </w:rPr>
            </w:pPr>
            <w:r>
              <w:rPr>
                <w:color w:val="auto"/>
                <w:sz w:val="21"/>
                <w:szCs w:val="21"/>
              </w:rPr>
              <w:t>项 目</w:t>
            </w:r>
          </w:p>
        </w:tc>
        <w:tc>
          <w:tcPr>
            <w:tcW w:w="2563" w:type="pct"/>
            <w:gridSpan w:val="2"/>
            <w:tcBorders>
              <w:tl2br w:val="nil"/>
              <w:tr2bl w:val="nil"/>
            </w:tcBorders>
            <w:vAlign w:val="center"/>
          </w:tcPr>
          <w:p>
            <w:pPr>
              <w:ind w:firstLine="0" w:firstLineChars="0"/>
              <w:jc w:val="center"/>
              <w:rPr>
                <w:color w:val="auto"/>
                <w:sz w:val="21"/>
                <w:szCs w:val="21"/>
              </w:rPr>
            </w:pPr>
            <w:r>
              <w:rPr>
                <w:color w:val="auto"/>
                <w:sz w:val="21"/>
                <w:szCs w:val="21"/>
              </w:rPr>
              <w:t>有组织排放限值（排气筒高度15m）</w:t>
            </w:r>
          </w:p>
        </w:tc>
        <w:tc>
          <w:tcPr>
            <w:tcW w:w="1608" w:type="pct"/>
            <w:vMerge w:val="restart"/>
            <w:tcBorders>
              <w:tl2br w:val="nil"/>
              <w:tr2bl w:val="nil"/>
            </w:tcBorders>
            <w:vAlign w:val="center"/>
          </w:tcPr>
          <w:p>
            <w:pPr>
              <w:ind w:firstLine="0" w:firstLineChars="0"/>
              <w:jc w:val="center"/>
              <w:rPr>
                <w:color w:val="auto"/>
                <w:sz w:val="21"/>
                <w:szCs w:val="21"/>
              </w:rPr>
            </w:pPr>
            <w:r>
              <w:rPr>
                <w:color w:val="auto"/>
                <w:sz w:val="21"/>
                <w:szCs w:val="21"/>
              </w:rPr>
              <w:t>无组织排放监控浓度限值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8" w:type="pct"/>
            <w:vMerge w:val="continue"/>
            <w:tcBorders>
              <w:tl2br w:val="nil"/>
              <w:tr2bl w:val="nil"/>
            </w:tcBorders>
            <w:vAlign w:val="center"/>
          </w:tcPr>
          <w:p>
            <w:pPr>
              <w:ind w:firstLine="0" w:firstLineChars="0"/>
              <w:jc w:val="center"/>
              <w:rPr>
                <w:color w:val="auto"/>
                <w:sz w:val="21"/>
                <w:szCs w:val="21"/>
              </w:rPr>
            </w:pPr>
          </w:p>
        </w:tc>
        <w:tc>
          <w:tcPr>
            <w:tcW w:w="1279" w:type="pct"/>
            <w:tcBorders>
              <w:tl2br w:val="nil"/>
              <w:tr2bl w:val="nil"/>
            </w:tcBorders>
            <w:vAlign w:val="center"/>
          </w:tcPr>
          <w:p>
            <w:pPr>
              <w:ind w:firstLine="0" w:firstLineChars="0"/>
              <w:jc w:val="center"/>
              <w:rPr>
                <w:color w:val="auto"/>
                <w:sz w:val="21"/>
                <w:szCs w:val="21"/>
              </w:rPr>
            </w:pPr>
            <w:r>
              <w:rPr>
                <w:color w:val="auto"/>
                <w:sz w:val="21"/>
                <w:szCs w:val="21"/>
              </w:rPr>
              <w:t>排放浓度mg/m</w:t>
            </w:r>
            <w:r>
              <w:rPr>
                <w:color w:val="auto"/>
                <w:sz w:val="21"/>
                <w:szCs w:val="21"/>
                <w:vertAlign w:val="superscript"/>
              </w:rPr>
              <w:t>3</w:t>
            </w:r>
          </w:p>
        </w:tc>
        <w:tc>
          <w:tcPr>
            <w:tcW w:w="1283" w:type="pct"/>
            <w:tcBorders>
              <w:tl2br w:val="nil"/>
              <w:tr2bl w:val="nil"/>
            </w:tcBorders>
            <w:vAlign w:val="center"/>
          </w:tcPr>
          <w:p>
            <w:pPr>
              <w:ind w:firstLine="0" w:firstLineChars="0"/>
              <w:jc w:val="center"/>
              <w:rPr>
                <w:color w:val="auto"/>
                <w:sz w:val="21"/>
                <w:szCs w:val="21"/>
              </w:rPr>
            </w:pPr>
            <w:r>
              <w:rPr>
                <w:color w:val="auto"/>
                <w:sz w:val="21"/>
                <w:szCs w:val="21"/>
              </w:rPr>
              <w:t>排放速率kg/h</w:t>
            </w:r>
          </w:p>
        </w:tc>
        <w:tc>
          <w:tcPr>
            <w:tcW w:w="1608" w:type="pct"/>
            <w:vMerge w:val="continue"/>
            <w:tcBorders>
              <w:tl2br w:val="nil"/>
              <w:tr2bl w:val="nil"/>
            </w:tcBorders>
            <w:vAlign w:val="center"/>
          </w:tcPr>
          <w:p>
            <w:pPr>
              <w:ind w:firstLine="0" w:firstLineChars="0"/>
              <w:jc w:val="center"/>
              <w:rPr>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8" w:type="pct"/>
            <w:tcBorders>
              <w:tl2br w:val="nil"/>
              <w:tr2bl w:val="nil"/>
            </w:tcBorders>
            <w:vAlign w:val="center"/>
          </w:tcPr>
          <w:p>
            <w:pPr>
              <w:ind w:firstLine="0" w:firstLineChars="0"/>
              <w:jc w:val="center"/>
              <w:rPr>
                <w:color w:val="auto"/>
                <w:sz w:val="21"/>
                <w:szCs w:val="21"/>
              </w:rPr>
            </w:pPr>
            <w:r>
              <w:rPr>
                <w:color w:val="auto"/>
                <w:sz w:val="21"/>
                <w:szCs w:val="21"/>
              </w:rPr>
              <w:t>颗粒物</w:t>
            </w:r>
          </w:p>
        </w:tc>
        <w:tc>
          <w:tcPr>
            <w:tcW w:w="1279" w:type="pct"/>
            <w:tcBorders>
              <w:tl2br w:val="nil"/>
              <w:tr2bl w:val="nil"/>
            </w:tcBorders>
            <w:vAlign w:val="center"/>
          </w:tcPr>
          <w:p>
            <w:pPr>
              <w:ind w:firstLine="0" w:firstLineChars="0"/>
              <w:jc w:val="center"/>
              <w:rPr>
                <w:color w:val="auto"/>
                <w:sz w:val="21"/>
                <w:szCs w:val="21"/>
              </w:rPr>
            </w:pPr>
            <w:r>
              <w:rPr>
                <w:color w:val="auto"/>
                <w:sz w:val="21"/>
                <w:szCs w:val="21"/>
              </w:rPr>
              <w:t>120</w:t>
            </w:r>
          </w:p>
        </w:tc>
        <w:tc>
          <w:tcPr>
            <w:tcW w:w="1283" w:type="pct"/>
            <w:tcBorders>
              <w:tl2br w:val="nil"/>
              <w:tr2bl w:val="nil"/>
            </w:tcBorders>
            <w:vAlign w:val="center"/>
          </w:tcPr>
          <w:p>
            <w:pPr>
              <w:ind w:firstLine="0" w:firstLineChars="0"/>
              <w:jc w:val="center"/>
              <w:rPr>
                <w:color w:val="auto"/>
                <w:sz w:val="21"/>
                <w:szCs w:val="21"/>
              </w:rPr>
            </w:pPr>
            <w:r>
              <w:rPr>
                <w:color w:val="auto"/>
                <w:sz w:val="21"/>
                <w:szCs w:val="21"/>
              </w:rPr>
              <w:t>3.5</w:t>
            </w:r>
          </w:p>
        </w:tc>
        <w:tc>
          <w:tcPr>
            <w:tcW w:w="1608" w:type="pct"/>
            <w:tcBorders>
              <w:tl2br w:val="nil"/>
              <w:tr2bl w:val="nil"/>
            </w:tcBorders>
            <w:vAlign w:val="center"/>
          </w:tcPr>
          <w:p>
            <w:pPr>
              <w:ind w:firstLine="0" w:firstLineChars="0"/>
              <w:jc w:val="center"/>
              <w:rPr>
                <w:color w:val="auto"/>
                <w:sz w:val="21"/>
                <w:szCs w:val="21"/>
              </w:rPr>
            </w:pPr>
            <w:r>
              <w:rPr>
                <w:color w:val="auto"/>
                <w:sz w:val="21"/>
                <w:szCs w:val="21"/>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8" w:type="pct"/>
            <w:tcBorders>
              <w:tl2br w:val="nil"/>
              <w:tr2bl w:val="nil"/>
            </w:tcBorders>
            <w:vAlign w:val="center"/>
          </w:tcPr>
          <w:p>
            <w:pPr>
              <w:ind w:firstLine="0" w:firstLineChars="0"/>
              <w:jc w:val="center"/>
              <w:rPr>
                <w:color w:val="auto"/>
                <w:sz w:val="21"/>
                <w:szCs w:val="21"/>
              </w:rPr>
            </w:pPr>
            <w:r>
              <w:rPr>
                <w:color w:val="auto"/>
                <w:sz w:val="21"/>
                <w:szCs w:val="21"/>
              </w:rPr>
              <w:t>沥青烟</w:t>
            </w:r>
          </w:p>
        </w:tc>
        <w:tc>
          <w:tcPr>
            <w:tcW w:w="1279" w:type="pct"/>
            <w:tcBorders>
              <w:tl2br w:val="nil"/>
              <w:tr2bl w:val="nil"/>
            </w:tcBorders>
            <w:vAlign w:val="center"/>
          </w:tcPr>
          <w:p>
            <w:pPr>
              <w:ind w:firstLine="0" w:firstLineChars="0"/>
              <w:jc w:val="center"/>
              <w:rPr>
                <w:color w:val="auto"/>
                <w:sz w:val="21"/>
                <w:szCs w:val="21"/>
              </w:rPr>
            </w:pPr>
            <w:r>
              <w:rPr>
                <w:color w:val="auto"/>
                <w:sz w:val="21"/>
                <w:szCs w:val="21"/>
              </w:rPr>
              <w:t>75</w:t>
            </w:r>
          </w:p>
        </w:tc>
        <w:tc>
          <w:tcPr>
            <w:tcW w:w="1283" w:type="pct"/>
            <w:tcBorders>
              <w:tl2br w:val="nil"/>
              <w:tr2bl w:val="nil"/>
            </w:tcBorders>
            <w:vAlign w:val="center"/>
          </w:tcPr>
          <w:p>
            <w:pPr>
              <w:ind w:firstLine="0" w:firstLineChars="0"/>
              <w:jc w:val="center"/>
              <w:rPr>
                <w:color w:val="auto"/>
                <w:sz w:val="21"/>
                <w:szCs w:val="21"/>
              </w:rPr>
            </w:pPr>
            <w:r>
              <w:rPr>
                <w:color w:val="auto"/>
                <w:sz w:val="21"/>
                <w:szCs w:val="21"/>
              </w:rPr>
              <w:t>0.18</w:t>
            </w:r>
          </w:p>
        </w:tc>
        <w:tc>
          <w:tcPr>
            <w:tcW w:w="1608" w:type="pct"/>
            <w:tcBorders>
              <w:tl2br w:val="nil"/>
              <w:tr2bl w:val="nil"/>
            </w:tcBorders>
            <w:vAlign w:val="center"/>
          </w:tcPr>
          <w:p>
            <w:pPr>
              <w:ind w:firstLine="0" w:firstLineChars="0"/>
              <w:jc w:val="center"/>
              <w:rPr>
                <w:color w:val="auto"/>
                <w:sz w:val="21"/>
                <w:szCs w:val="21"/>
              </w:rPr>
            </w:pPr>
            <w:r>
              <w:rPr>
                <w:color w:val="auto"/>
                <w:sz w:val="21"/>
                <w:szCs w:val="21"/>
              </w:rPr>
              <w:t>生产设备不得有明显的无组织排放存在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28" w:type="pct"/>
            <w:tcBorders>
              <w:tl2br w:val="nil"/>
              <w:tr2bl w:val="nil"/>
            </w:tcBorders>
            <w:vAlign w:val="center"/>
          </w:tcPr>
          <w:p>
            <w:pPr>
              <w:ind w:firstLine="0" w:firstLineChars="0"/>
              <w:jc w:val="center"/>
              <w:rPr>
                <w:color w:val="auto"/>
                <w:sz w:val="21"/>
                <w:szCs w:val="21"/>
              </w:rPr>
            </w:pPr>
            <w:r>
              <w:rPr>
                <w:color w:val="auto"/>
                <w:sz w:val="21"/>
                <w:szCs w:val="21"/>
              </w:rPr>
              <w:t>苯并[a]芘</w:t>
            </w:r>
          </w:p>
        </w:tc>
        <w:tc>
          <w:tcPr>
            <w:tcW w:w="1279" w:type="pct"/>
            <w:tcBorders>
              <w:tl2br w:val="nil"/>
              <w:tr2bl w:val="nil"/>
            </w:tcBorders>
            <w:vAlign w:val="center"/>
          </w:tcPr>
          <w:p>
            <w:pPr>
              <w:ind w:firstLine="0" w:firstLineChars="0"/>
              <w:jc w:val="center"/>
              <w:rPr>
                <w:color w:val="auto"/>
                <w:sz w:val="21"/>
                <w:szCs w:val="21"/>
              </w:rPr>
            </w:pPr>
            <w:r>
              <w:rPr>
                <w:color w:val="auto"/>
                <w:sz w:val="21"/>
                <w:szCs w:val="21"/>
              </w:rPr>
              <w:t>0.3×10</w:t>
            </w:r>
            <w:r>
              <w:rPr>
                <w:color w:val="auto"/>
                <w:sz w:val="21"/>
                <w:szCs w:val="21"/>
                <w:vertAlign w:val="superscript"/>
              </w:rPr>
              <w:t>-3</w:t>
            </w:r>
          </w:p>
        </w:tc>
        <w:tc>
          <w:tcPr>
            <w:tcW w:w="1283" w:type="pct"/>
            <w:tcBorders>
              <w:tl2br w:val="nil"/>
              <w:tr2bl w:val="nil"/>
            </w:tcBorders>
            <w:vAlign w:val="center"/>
          </w:tcPr>
          <w:p>
            <w:pPr>
              <w:ind w:firstLine="0" w:firstLineChars="0"/>
              <w:jc w:val="center"/>
              <w:rPr>
                <w:color w:val="auto"/>
                <w:sz w:val="21"/>
                <w:szCs w:val="21"/>
              </w:rPr>
            </w:pPr>
            <w:r>
              <w:rPr>
                <w:color w:val="auto"/>
                <w:sz w:val="21"/>
                <w:szCs w:val="21"/>
              </w:rPr>
              <w:t>0.5×10</w:t>
            </w:r>
            <w:r>
              <w:rPr>
                <w:color w:val="auto"/>
                <w:sz w:val="21"/>
                <w:szCs w:val="21"/>
                <w:vertAlign w:val="superscript"/>
              </w:rPr>
              <w:t>-3</w:t>
            </w:r>
          </w:p>
        </w:tc>
        <w:tc>
          <w:tcPr>
            <w:tcW w:w="1608" w:type="pct"/>
            <w:tcBorders>
              <w:tl2br w:val="nil"/>
              <w:tr2bl w:val="nil"/>
            </w:tcBorders>
            <w:vAlign w:val="center"/>
          </w:tcPr>
          <w:p>
            <w:pPr>
              <w:ind w:firstLine="0" w:firstLineChars="0"/>
              <w:jc w:val="center"/>
              <w:rPr>
                <w:color w:val="auto"/>
                <w:sz w:val="21"/>
                <w:szCs w:val="21"/>
              </w:rPr>
            </w:pPr>
            <w:r>
              <w:rPr>
                <w:rFonts w:hint="eastAsia"/>
                <w:color w:val="auto"/>
                <w:sz w:val="21"/>
                <w:szCs w:val="21"/>
              </w:rPr>
              <w:t>0.008</w:t>
            </w:r>
            <w:r>
              <w:rPr>
                <w:rFonts w:hint="eastAsia"/>
                <w:color w:val="auto"/>
              </w:rPr>
              <w:t>μg/m</w:t>
            </w:r>
            <w:r>
              <w:rPr>
                <w:rFonts w:hint="eastAsia"/>
                <w:color w:val="auto"/>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28" w:type="pct"/>
            <w:tcBorders>
              <w:tl2br w:val="nil"/>
              <w:tr2bl w:val="nil"/>
            </w:tcBorders>
            <w:vAlign w:val="center"/>
          </w:tcPr>
          <w:p>
            <w:pPr>
              <w:ind w:firstLine="0" w:firstLineChars="0"/>
              <w:jc w:val="center"/>
              <w:rPr>
                <w:color w:val="auto"/>
                <w:sz w:val="21"/>
                <w:szCs w:val="21"/>
              </w:rPr>
            </w:pPr>
            <w:r>
              <w:rPr>
                <w:color w:val="auto"/>
                <w:sz w:val="21"/>
                <w:szCs w:val="21"/>
              </w:rPr>
              <w:t>SO</w:t>
            </w:r>
            <w:r>
              <w:rPr>
                <w:color w:val="auto"/>
                <w:sz w:val="21"/>
                <w:szCs w:val="21"/>
                <w:vertAlign w:val="subscript"/>
              </w:rPr>
              <w:t>2</w:t>
            </w:r>
          </w:p>
        </w:tc>
        <w:tc>
          <w:tcPr>
            <w:tcW w:w="1279" w:type="pct"/>
            <w:tcBorders>
              <w:tl2br w:val="nil"/>
              <w:tr2bl w:val="nil"/>
            </w:tcBorders>
            <w:vAlign w:val="center"/>
          </w:tcPr>
          <w:p>
            <w:pPr>
              <w:ind w:firstLine="0" w:firstLineChars="0"/>
              <w:jc w:val="center"/>
              <w:rPr>
                <w:color w:val="auto"/>
                <w:sz w:val="21"/>
                <w:szCs w:val="21"/>
              </w:rPr>
            </w:pPr>
            <w:r>
              <w:rPr>
                <w:color w:val="auto"/>
                <w:sz w:val="21"/>
                <w:szCs w:val="21"/>
              </w:rPr>
              <w:t>550</w:t>
            </w:r>
          </w:p>
        </w:tc>
        <w:tc>
          <w:tcPr>
            <w:tcW w:w="1283" w:type="pct"/>
            <w:tcBorders>
              <w:tl2br w:val="nil"/>
              <w:tr2bl w:val="nil"/>
            </w:tcBorders>
            <w:vAlign w:val="center"/>
          </w:tcPr>
          <w:p>
            <w:pPr>
              <w:ind w:firstLine="0" w:firstLineChars="0"/>
              <w:jc w:val="center"/>
              <w:rPr>
                <w:color w:val="auto"/>
                <w:sz w:val="21"/>
                <w:szCs w:val="21"/>
              </w:rPr>
            </w:pPr>
            <w:r>
              <w:rPr>
                <w:color w:val="auto"/>
                <w:sz w:val="21"/>
                <w:szCs w:val="21"/>
              </w:rPr>
              <w:t>2.6</w:t>
            </w:r>
          </w:p>
        </w:tc>
        <w:tc>
          <w:tcPr>
            <w:tcW w:w="1608" w:type="pct"/>
            <w:tcBorders>
              <w:tl2br w:val="nil"/>
              <w:tr2bl w:val="nil"/>
            </w:tcBorders>
            <w:vAlign w:val="center"/>
          </w:tcPr>
          <w:p>
            <w:pPr>
              <w:ind w:firstLine="0" w:firstLineChars="0"/>
              <w:jc w:val="center"/>
              <w:rPr>
                <w:color w:val="auto"/>
                <w:sz w:val="21"/>
                <w:szCs w:val="21"/>
              </w:rPr>
            </w:pPr>
            <w:r>
              <w:rPr>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28" w:type="pct"/>
            <w:tcBorders>
              <w:tl2br w:val="nil"/>
              <w:tr2bl w:val="nil"/>
            </w:tcBorders>
            <w:vAlign w:val="center"/>
          </w:tcPr>
          <w:p>
            <w:pPr>
              <w:ind w:firstLine="0" w:firstLineChars="0"/>
              <w:jc w:val="center"/>
              <w:rPr>
                <w:color w:val="auto"/>
                <w:sz w:val="21"/>
                <w:szCs w:val="21"/>
              </w:rPr>
            </w:pPr>
            <w:r>
              <w:rPr>
                <w:color w:val="auto"/>
                <w:sz w:val="21"/>
                <w:szCs w:val="21"/>
              </w:rPr>
              <w:t>NO</w:t>
            </w:r>
            <w:r>
              <w:rPr>
                <w:color w:val="auto"/>
                <w:sz w:val="21"/>
                <w:szCs w:val="21"/>
                <w:vertAlign w:val="subscript"/>
              </w:rPr>
              <w:t>X</w:t>
            </w:r>
          </w:p>
        </w:tc>
        <w:tc>
          <w:tcPr>
            <w:tcW w:w="1279" w:type="pct"/>
            <w:tcBorders>
              <w:tl2br w:val="nil"/>
              <w:tr2bl w:val="nil"/>
            </w:tcBorders>
            <w:vAlign w:val="center"/>
          </w:tcPr>
          <w:p>
            <w:pPr>
              <w:ind w:firstLine="0" w:firstLineChars="0"/>
              <w:jc w:val="center"/>
              <w:rPr>
                <w:color w:val="auto"/>
                <w:sz w:val="21"/>
                <w:szCs w:val="21"/>
              </w:rPr>
            </w:pPr>
            <w:r>
              <w:rPr>
                <w:color w:val="auto"/>
                <w:sz w:val="21"/>
                <w:szCs w:val="21"/>
              </w:rPr>
              <w:t>240</w:t>
            </w:r>
          </w:p>
        </w:tc>
        <w:tc>
          <w:tcPr>
            <w:tcW w:w="1283" w:type="pct"/>
            <w:tcBorders>
              <w:tl2br w:val="nil"/>
              <w:tr2bl w:val="nil"/>
            </w:tcBorders>
            <w:vAlign w:val="center"/>
          </w:tcPr>
          <w:p>
            <w:pPr>
              <w:ind w:firstLine="0" w:firstLineChars="0"/>
              <w:jc w:val="center"/>
              <w:rPr>
                <w:color w:val="auto"/>
                <w:sz w:val="21"/>
                <w:szCs w:val="21"/>
              </w:rPr>
            </w:pPr>
            <w:r>
              <w:rPr>
                <w:color w:val="auto"/>
                <w:sz w:val="21"/>
                <w:szCs w:val="21"/>
              </w:rPr>
              <w:t>0.77</w:t>
            </w:r>
          </w:p>
        </w:tc>
        <w:tc>
          <w:tcPr>
            <w:tcW w:w="1608" w:type="pct"/>
            <w:tcBorders>
              <w:tl2br w:val="nil"/>
              <w:tr2bl w:val="nil"/>
            </w:tcBorders>
            <w:vAlign w:val="center"/>
          </w:tcPr>
          <w:p>
            <w:pPr>
              <w:ind w:firstLine="0" w:firstLineChars="0"/>
              <w:jc w:val="center"/>
              <w:rPr>
                <w:color w:val="auto"/>
                <w:sz w:val="21"/>
                <w:szCs w:val="21"/>
              </w:rPr>
            </w:pPr>
            <w:r>
              <w:rPr>
                <w:color w:val="auto"/>
                <w:sz w:val="21"/>
                <w:szCs w:val="21"/>
              </w:rPr>
              <w:t>-</w:t>
            </w:r>
          </w:p>
        </w:tc>
      </w:tr>
    </w:tbl>
    <w:p>
      <w:pPr>
        <w:snapToGrid w:val="0"/>
        <w:ind w:firstLine="480"/>
        <w:rPr>
          <w:color w:val="auto"/>
        </w:rPr>
      </w:pPr>
    </w:p>
    <w:p>
      <w:pPr>
        <w:wordWrap w:val="0"/>
        <w:topLinePunct/>
        <w:spacing w:before="156" w:beforeLines="50"/>
        <w:ind w:firstLine="480"/>
        <w:contextualSpacing/>
        <w:textAlignment w:val="center"/>
        <w:rPr>
          <w:bCs/>
          <w:color w:val="auto"/>
        </w:rPr>
      </w:pPr>
      <w:r>
        <w:rPr>
          <w:bCs/>
          <w:color w:val="auto"/>
        </w:rPr>
        <w:t>本项目营运期导热油炉排放的颗粒物、</w:t>
      </w:r>
      <w:r>
        <w:rPr>
          <w:color w:val="auto"/>
        </w:rPr>
        <w:t>氮氧化物</w:t>
      </w:r>
      <w:r>
        <w:rPr>
          <w:rFonts w:hint="eastAsia"/>
          <w:color w:val="auto"/>
        </w:rPr>
        <w:t>、</w:t>
      </w:r>
      <w:r>
        <w:rPr>
          <w:bCs/>
          <w:color w:val="auto"/>
        </w:rPr>
        <w:t>SO</w:t>
      </w:r>
      <w:r>
        <w:rPr>
          <w:bCs/>
          <w:color w:val="auto"/>
          <w:vertAlign w:val="subscript"/>
        </w:rPr>
        <w:t>2</w:t>
      </w:r>
      <w:r>
        <w:rPr>
          <w:bCs/>
          <w:color w:val="auto"/>
        </w:rPr>
        <w:t xml:space="preserve">执行《锅炉大气污染物排放标准》（GB 13271-2014）表 </w:t>
      </w:r>
      <w:r>
        <w:rPr>
          <w:rFonts w:hint="eastAsia"/>
          <w:bCs/>
          <w:color w:val="auto"/>
        </w:rPr>
        <w:t>2</w:t>
      </w:r>
      <w:r>
        <w:rPr>
          <w:bCs/>
          <w:color w:val="auto"/>
        </w:rPr>
        <w:t xml:space="preserve"> 燃</w:t>
      </w:r>
      <w:r>
        <w:rPr>
          <w:rFonts w:hint="eastAsia"/>
          <w:bCs/>
          <w:color w:val="auto"/>
        </w:rPr>
        <w:t>油</w:t>
      </w:r>
      <w:r>
        <w:rPr>
          <w:bCs/>
          <w:color w:val="auto"/>
        </w:rPr>
        <w:t>锅炉排放限值。</w:t>
      </w:r>
    </w:p>
    <w:p>
      <w:pPr>
        <w:pStyle w:val="12"/>
        <w:ind w:left="480" w:firstLine="2168" w:firstLineChars="900"/>
        <w:rPr>
          <w:rFonts w:hint="eastAsia" w:ascii="宋体" w:hAnsi="宋体" w:cs="宋体"/>
          <w:color w:val="auto"/>
        </w:rPr>
      </w:pPr>
      <w:r>
        <w:rPr>
          <w:rFonts w:hint="eastAsia" w:ascii="宋体" w:hAnsi="宋体" w:cs="宋体"/>
          <w:b/>
          <w:color w:val="auto"/>
          <w:szCs w:val="21"/>
        </w:rPr>
        <w:t xml:space="preserve">表1-3锅炉大气污染物排放标准一览表   </w:t>
      </w:r>
    </w:p>
    <w:tbl>
      <w:tblPr>
        <w:tblStyle w:val="32"/>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418"/>
        <w:gridCol w:w="1420"/>
        <w:gridCol w:w="1420"/>
        <w:gridCol w:w="1420"/>
        <w:gridCol w:w="142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2" w:type="pct"/>
            <w:tcBorders>
              <w:tl2br w:val="nil"/>
              <w:tr2bl w:val="nil"/>
            </w:tcBorders>
            <w:vAlign w:val="center"/>
          </w:tcPr>
          <w:p>
            <w:pPr>
              <w:ind w:firstLine="0" w:firstLineChars="0"/>
              <w:jc w:val="center"/>
              <w:rPr>
                <w:b/>
                <w:color w:val="auto"/>
                <w:sz w:val="21"/>
                <w:szCs w:val="21"/>
              </w:rPr>
            </w:pPr>
            <w:r>
              <w:rPr>
                <w:color w:val="auto"/>
                <w:sz w:val="21"/>
                <w:szCs w:val="21"/>
              </w:rPr>
              <w:t>项 目</w:t>
            </w:r>
          </w:p>
        </w:tc>
        <w:tc>
          <w:tcPr>
            <w:tcW w:w="832" w:type="pct"/>
            <w:tcBorders>
              <w:tl2br w:val="nil"/>
              <w:tr2bl w:val="nil"/>
            </w:tcBorders>
            <w:vAlign w:val="center"/>
          </w:tcPr>
          <w:p>
            <w:pPr>
              <w:ind w:firstLine="0" w:firstLineChars="0"/>
              <w:jc w:val="center"/>
              <w:rPr>
                <w:b/>
                <w:color w:val="auto"/>
                <w:sz w:val="21"/>
                <w:szCs w:val="21"/>
              </w:rPr>
            </w:pPr>
            <w:r>
              <w:rPr>
                <w:color w:val="auto"/>
                <w:sz w:val="21"/>
                <w:szCs w:val="21"/>
              </w:rPr>
              <w:t>烟尘</w:t>
            </w:r>
          </w:p>
        </w:tc>
        <w:tc>
          <w:tcPr>
            <w:tcW w:w="833" w:type="pct"/>
            <w:tcBorders>
              <w:tl2br w:val="nil"/>
              <w:tr2bl w:val="nil"/>
            </w:tcBorders>
            <w:vAlign w:val="center"/>
          </w:tcPr>
          <w:p>
            <w:pPr>
              <w:ind w:firstLine="0" w:firstLineChars="0"/>
              <w:jc w:val="center"/>
              <w:rPr>
                <w:b/>
                <w:color w:val="auto"/>
                <w:sz w:val="21"/>
                <w:szCs w:val="21"/>
              </w:rPr>
            </w:pPr>
            <w:r>
              <w:rPr>
                <w:color w:val="auto"/>
                <w:sz w:val="21"/>
                <w:szCs w:val="21"/>
              </w:rPr>
              <w:t>SO</w:t>
            </w:r>
            <w:r>
              <w:rPr>
                <w:color w:val="auto"/>
                <w:sz w:val="21"/>
                <w:szCs w:val="21"/>
                <w:vertAlign w:val="subscript"/>
              </w:rPr>
              <w:t>2</w:t>
            </w:r>
          </w:p>
        </w:tc>
        <w:tc>
          <w:tcPr>
            <w:tcW w:w="833" w:type="pct"/>
            <w:tcBorders>
              <w:tl2br w:val="nil"/>
              <w:tr2bl w:val="nil"/>
            </w:tcBorders>
            <w:vAlign w:val="center"/>
          </w:tcPr>
          <w:p>
            <w:pPr>
              <w:ind w:firstLine="0" w:firstLineChars="0"/>
              <w:jc w:val="center"/>
              <w:rPr>
                <w:b/>
                <w:color w:val="auto"/>
                <w:sz w:val="21"/>
                <w:szCs w:val="21"/>
              </w:rPr>
            </w:pPr>
            <w:r>
              <w:rPr>
                <w:color w:val="auto"/>
                <w:sz w:val="21"/>
                <w:szCs w:val="21"/>
              </w:rPr>
              <w:t>NO</w:t>
            </w:r>
            <w:r>
              <w:rPr>
                <w:color w:val="auto"/>
                <w:sz w:val="21"/>
                <w:szCs w:val="21"/>
                <w:vertAlign w:val="subscript"/>
              </w:rPr>
              <w:t>X</w:t>
            </w:r>
            <w:r>
              <w:rPr>
                <w:color w:val="auto"/>
                <w:sz w:val="21"/>
                <w:szCs w:val="21"/>
              </w:rPr>
              <w:t xml:space="preserve"> </w:t>
            </w:r>
          </w:p>
        </w:tc>
        <w:tc>
          <w:tcPr>
            <w:tcW w:w="833" w:type="pct"/>
            <w:tcBorders>
              <w:tl2br w:val="nil"/>
              <w:tr2bl w:val="nil"/>
            </w:tcBorders>
            <w:vAlign w:val="center"/>
          </w:tcPr>
          <w:p>
            <w:pPr>
              <w:ind w:firstLine="0" w:firstLineChars="0"/>
              <w:jc w:val="center"/>
              <w:rPr>
                <w:b/>
                <w:color w:val="auto"/>
                <w:sz w:val="21"/>
                <w:szCs w:val="21"/>
              </w:rPr>
            </w:pPr>
            <w:r>
              <w:rPr>
                <w:color w:val="auto"/>
                <w:sz w:val="21"/>
                <w:szCs w:val="21"/>
              </w:rPr>
              <w:t>林格曼黑度</w:t>
            </w:r>
          </w:p>
        </w:tc>
        <w:tc>
          <w:tcPr>
            <w:tcW w:w="833" w:type="pct"/>
            <w:tcBorders>
              <w:tl2br w:val="nil"/>
              <w:tr2bl w:val="nil"/>
            </w:tcBorders>
            <w:vAlign w:val="center"/>
          </w:tcPr>
          <w:p>
            <w:pPr>
              <w:ind w:firstLine="0" w:firstLineChars="0"/>
              <w:jc w:val="center"/>
              <w:rPr>
                <w:color w:val="auto"/>
                <w:sz w:val="21"/>
                <w:szCs w:val="21"/>
              </w:rPr>
            </w:pPr>
            <w:r>
              <w:rPr>
                <w:color w:val="auto"/>
                <w:sz w:val="21"/>
                <w:szCs w:val="21"/>
              </w:rPr>
              <w:t>排气筒高度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2" w:type="pct"/>
            <w:tcBorders>
              <w:tl2br w:val="nil"/>
              <w:tr2bl w:val="nil"/>
            </w:tcBorders>
            <w:vAlign w:val="center"/>
          </w:tcPr>
          <w:p>
            <w:pPr>
              <w:ind w:firstLine="0" w:firstLineChars="0"/>
              <w:jc w:val="center"/>
              <w:rPr>
                <w:b/>
                <w:color w:val="auto"/>
                <w:sz w:val="21"/>
                <w:szCs w:val="21"/>
              </w:rPr>
            </w:pPr>
            <w:r>
              <w:rPr>
                <w:color w:val="auto"/>
                <w:sz w:val="21"/>
                <w:szCs w:val="21"/>
              </w:rPr>
              <w:t>标准值</w:t>
            </w:r>
          </w:p>
        </w:tc>
        <w:tc>
          <w:tcPr>
            <w:tcW w:w="832" w:type="pct"/>
            <w:tcBorders>
              <w:tl2br w:val="nil"/>
              <w:tr2bl w:val="nil"/>
            </w:tcBorders>
            <w:vAlign w:val="center"/>
          </w:tcPr>
          <w:p>
            <w:pPr>
              <w:ind w:firstLine="0" w:firstLineChars="0"/>
              <w:jc w:val="center"/>
              <w:rPr>
                <w:b/>
                <w:color w:val="auto"/>
                <w:sz w:val="21"/>
                <w:szCs w:val="21"/>
              </w:rPr>
            </w:pPr>
            <w:r>
              <w:rPr>
                <w:rFonts w:hint="eastAsia"/>
                <w:color w:val="auto"/>
                <w:sz w:val="21"/>
                <w:szCs w:val="21"/>
              </w:rPr>
              <w:t>3</w:t>
            </w:r>
            <w:r>
              <w:rPr>
                <w:color w:val="auto"/>
                <w:sz w:val="21"/>
                <w:szCs w:val="21"/>
              </w:rPr>
              <w:t>0mg/m</w:t>
            </w:r>
            <w:r>
              <w:rPr>
                <w:color w:val="auto"/>
                <w:sz w:val="21"/>
                <w:szCs w:val="21"/>
                <w:vertAlign w:val="superscript"/>
              </w:rPr>
              <w:t>3</w:t>
            </w:r>
          </w:p>
        </w:tc>
        <w:tc>
          <w:tcPr>
            <w:tcW w:w="833" w:type="pct"/>
            <w:tcBorders>
              <w:tl2br w:val="nil"/>
              <w:tr2bl w:val="nil"/>
            </w:tcBorders>
            <w:vAlign w:val="center"/>
          </w:tcPr>
          <w:p>
            <w:pPr>
              <w:ind w:firstLine="0" w:firstLineChars="0"/>
              <w:jc w:val="center"/>
              <w:rPr>
                <w:b/>
                <w:color w:val="auto"/>
                <w:sz w:val="21"/>
                <w:szCs w:val="21"/>
              </w:rPr>
            </w:pPr>
            <w:r>
              <w:rPr>
                <w:rFonts w:hint="eastAsia"/>
                <w:color w:val="auto"/>
                <w:sz w:val="21"/>
                <w:szCs w:val="21"/>
              </w:rPr>
              <w:t>20</w:t>
            </w:r>
            <w:r>
              <w:rPr>
                <w:color w:val="auto"/>
                <w:sz w:val="21"/>
                <w:szCs w:val="21"/>
              </w:rPr>
              <w:t>0mg/m</w:t>
            </w:r>
            <w:r>
              <w:rPr>
                <w:color w:val="auto"/>
                <w:sz w:val="21"/>
                <w:szCs w:val="21"/>
                <w:vertAlign w:val="superscript"/>
              </w:rPr>
              <w:t>3</w:t>
            </w:r>
          </w:p>
        </w:tc>
        <w:tc>
          <w:tcPr>
            <w:tcW w:w="833" w:type="pct"/>
            <w:tcBorders>
              <w:tl2br w:val="nil"/>
              <w:tr2bl w:val="nil"/>
            </w:tcBorders>
            <w:vAlign w:val="center"/>
          </w:tcPr>
          <w:p>
            <w:pPr>
              <w:ind w:firstLine="0" w:firstLineChars="0"/>
              <w:jc w:val="center"/>
              <w:rPr>
                <w:b/>
                <w:color w:val="auto"/>
                <w:sz w:val="21"/>
                <w:szCs w:val="21"/>
              </w:rPr>
            </w:pPr>
            <w:r>
              <w:rPr>
                <w:rFonts w:hint="eastAsia"/>
                <w:color w:val="auto"/>
                <w:sz w:val="21"/>
                <w:szCs w:val="21"/>
              </w:rPr>
              <w:t>250</w:t>
            </w:r>
            <w:r>
              <w:rPr>
                <w:color w:val="auto"/>
                <w:sz w:val="21"/>
                <w:szCs w:val="21"/>
              </w:rPr>
              <w:t>mg/m</w:t>
            </w:r>
            <w:r>
              <w:rPr>
                <w:color w:val="auto"/>
                <w:sz w:val="21"/>
                <w:szCs w:val="21"/>
                <w:vertAlign w:val="superscript"/>
              </w:rPr>
              <w:t>3</w:t>
            </w:r>
          </w:p>
        </w:tc>
        <w:tc>
          <w:tcPr>
            <w:tcW w:w="833" w:type="pct"/>
            <w:tcBorders>
              <w:tl2br w:val="nil"/>
              <w:tr2bl w:val="nil"/>
            </w:tcBorders>
            <w:vAlign w:val="center"/>
          </w:tcPr>
          <w:p>
            <w:pPr>
              <w:ind w:firstLine="0" w:firstLineChars="0"/>
              <w:jc w:val="center"/>
              <w:rPr>
                <w:b/>
                <w:color w:val="auto"/>
                <w:sz w:val="21"/>
                <w:szCs w:val="21"/>
              </w:rPr>
            </w:pPr>
            <w:r>
              <w:rPr>
                <w:rFonts w:hint="eastAsia"/>
                <w:color w:val="auto"/>
                <w:sz w:val="21"/>
                <w:szCs w:val="21"/>
              </w:rPr>
              <w:t>1级</w:t>
            </w:r>
          </w:p>
        </w:tc>
        <w:tc>
          <w:tcPr>
            <w:tcW w:w="833" w:type="pct"/>
            <w:tcBorders>
              <w:tl2br w:val="nil"/>
              <w:tr2bl w:val="nil"/>
            </w:tcBorders>
            <w:vAlign w:val="center"/>
          </w:tcPr>
          <w:p>
            <w:pPr>
              <w:ind w:firstLine="0" w:firstLineChars="0"/>
              <w:jc w:val="center"/>
              <w:rPr>
                <w:color w:val="auto"/>
                <w:sz w:val="21"/>
                <w:szCs w:val="21"/>
              </w:rPr>
            </w:pPr>
            <w:r>
              <w:rPr>
                <w:color w:val="auto"/>
                <w:sz w:val="21"/>
                <w:szCs w:val="21"/>
              </w:rPr>
              <w:t>15m</w:t>
            </w:r>
          </w:p>
        </w:tc>
      </w:tr>
    </w:tbl>
    <w:p>
      <w:pPr>
        <w:pStyle w:val="12"/>
        <w:adjustRightInd w:val="0"/>
        <w:snapToGrid w:val="0"/>
        <w:spacing w:after="0"/>
        <w:ind w:left="0" w:leftChars="0" w:firstLine="480"/>
        <w:rPr>
          <w:color w:val="auto"/>
        </w:rPr>
      </w:pPr>
    </w:p>
    <w:p>
      <w:pPr>
        <w:ind w:firstLine="480"/>
        <w:rPr>
          <w:color w:val="auto"/>
        </w:rPr>
      </w:pPr>
      <w:r>
        <w:rPr>
          <w:rFonts w:hint="eastAsia"/>
          <w:color w:val="auto"/>
        </w:rPr>
        <w:t>商品混凝土生产产生的粉尘</w:t>
      </w:r>
      <w:r>
        <w:rPr>
          <w:color w:val="auto"/>
        </w:rPr>
        <w:t>执行《水泥工业大气污染物排放标准》（GB4915-2013）表3大气污染物无组织排放限值</w:t>
      </w:r>
      <w:r>
        <w:rPr>
          <w:rFonts w:hint="eastAsia"/>
          <w:color w:val="auto"/>
        </w:rPr>
        <w:t>。</w:t>
      </w:r>
    </w:p>
    <w:p>
      <w:pPr>
        <w:ind w:firstLine="482"/>
        <w:jc w:val="center"/>
        <w:rPr>
          <w:b/>
          <w:bCs/>
          <w:color w:val="auto"/>
          <w:szCs w:val="21"/>
        </w:rPr>
      </w:pPr>
      <w:r>
        <w:rPr>
          <w:rFonts w:hint="eastAsia" w:ascii="宋体" w:hAnsi="宋体" w:cs="宋体"/>
          <w:b/>
          <w:color w:val="auto"/>
          <w:szCs w:val="21"/>
        </w:rPr>
        <w:t>表1-4</w:t>
      </w:r>
      <w:r>
        <w:rPr>
          <w:b/>
          <w:bCs/>
          <w:color w:val="auto"/>
          <w:szCs w:val="21"/>
        </w:rPr>
        <w:t>《水泥工业大气污染物排放标准》</w:t>
      </w:r>
      <w:r>
        <w:rPr>
          <w:rFonts w:hint="eastAsia"/>
          <w:b/>
          <w:bCs/>
          <w:color w:val="auto"/>
          <w:szCs w:val="21"/>
        </w:rPr>
        <w:t>表3</w:t>
      </w:r>
    </w:p>
    <w:tbl>
      <w:tblPr>
        <w:tblStyle w:val="3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46"/>
        <w:gridCol w:w="5392"/>
        <w:gridCol w:w="14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9" w:type="pct"/>
            <w:tcBorders>
              <w:tl2br w:val="nil"/>
              <w:tr2bl w:val="nil"/>
            </w:tcBorders>
            <w:noWrap/>
            <w:vAlign w:val="center"/>
          </w:tcPr>
          <w:p>
            <w:pPr>
              <w:autoSpaceDE w:val="0"/>
              <w:autoSpaceDN w:val="0"/>
              <w:ind w:firstLine="0" w:firstLineChars="0"/>
              <w:jc w:val="center"/>
              <w:rPr>
                <w:b/>
                <w:bCs/>
                <w:color w:val="auto"/>
              </w:rPr>
            </w:pPr>
            <w:r>
              <w:rPr>
                <w:b/>
                <w:bCs/>
                <w:color w:val="auto"/>
                <w:szCs w:val="21"/>
              </w:rPr>
              <w:t>污染物</w:t>
            </w:r>
          </w:p>
        </w:tc>
        <w:tc>
          <w:tcPr>
            <w:tcW w:w="2973" w:type="pct"/>
            <w:tcBorders>
              <w:tl2br w:val="nil"/>
              <w:tr2bl w:val="nil"/>
            </w:tcBorders>
            <w:noWrap/>
            <w:vAlign w:val="center"/>
          </w:tcPr>
          <w:p>
            <w:pPr>
              <w:autoSpaceDE w:val="0"/>
              <w:autoSpaceDN w:val="0"/>
              <w:ind w:firstLine="0" w:firstLineChars="0"/>
              <w:jc w:val="center"/>
              <w:rPr>
                <w:b/>
                <w:bCs/>
                <w:color w:val="auto"/>
                <w:szCs w:val="21"/>
              </w:rPr>
            </w:pPr>
            <w:r>
              <w:rPr>
                <w:rFonts w:hint="eastAsia"/>
                <w:b/>
                <w:bCs/>
                <w:color w:val="auto"/>
              </w:rPr>
              <w:t>无组织排放监控位置</w:t>
            </w:r>
          </w:p>
        </w:tc>
        <w:tc>
          <w:tcPr>
            <w:tcW w:w="917" w:type="pct"/>
            <w:tcBorders>
              <w:tl2br w:val="nil"/>
              <w:tr2bl w:val="nil"/>
            </w:tcBorders>
            <w:noWrap/>
            <w:vAlign w:val="center"/>
          </w:tcPr>
          <w:p>
            <w:pPr>
              <w:autoSpaceDE w:val="0"/>
              <w:autoSpaceDN w:val="0"/>
              <w:ind w:firstLine="0" w:firstLineChars="0"/>
              <w:jc w:val="center"/>
              <w:rPr>
                <w:b/>
                <w:bCs/>
                <w:color w:val="auto"/>
                <w:szCs w:val="21"/>
              </w:rPr>
            </w:pPr>
            <w:r>
              <w:rPr>
                <w:rFonts w:hint="eastAsia"/>
                <w:b/>
                <w:bCs/>
                <w:color w:val="auto"/>
                <w:szCs w:val="21"/>
              </w:rPr>
              <w:t>排放</w:t>
            </w:r>
            <w:r>
              <w:rPr>
                <w:b/>
                <w:bCs/>
                <w:color w:val="auto"/>
                <w:szCs w:val="21"/>
              </w:rPr>
              <w:t>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9" w:type="pct"/>
            <w:tcBorders>
              <w:tl2br w:val="nil"/>
              <w:tr2bl w:val="nil"/>
            </w:tcBorders>
            <w:noWrap/>
            <w:vAlign w:val="center"/>
          </w:tcPr>
          <w:p>
            <w:pPr>
              <w:widowControl/>
              <w:ind w:firstLine="0" w:firstLineChars="0"/>
              <w:jc w:val="center"/>
              <w:rPr>
                <w:bCs/>
                <w:color w:val="auto"/>
                <w:szCs w:val="21"/>
              </w:rPr>
            </w:pPr>
            <w:r>
              <w:rPr>
                <w:bCs/>
                <w:color w:val="auto"/>
                <w:szCs w:val="21"/>
              </w:rPr>
              <w:t>颗粒物</w:t>
            </w:r>
          </w:p>
        </w:tc>
        <w:tc>
          <w:tcPr>
            <w:tcW w:w="2973" w:type="pct"/>
            <w:tcBorders>
              <w:tl2br w:val="nil"/>
              <w:tr2bl w:val="nil"/>
            </w:tcBorders>
            <w:noWrap/>
            <w:vAlign w:val="center"/>
          </w:tcPr>
          <w:p>
            <w:pPr>
              <w:autoSpaceDE w:val="0"/>
              <w:autoSpaceDN w:val="0"/>
              <w:ind w:firstLine="0" w:firstLineChars="0"/>
              <w:jc w:val="center"/>
              <w:rPr>
                <w:bCs/>
                <w:color w:val="auto"/>
                <w:szCs w:val="21"/>
              </w:rPr>
            </w:pPr>
            <w:r>
              <w:rPr>
                <w:bCs/>
                <w:color w:val="auto"/>
                <w:szCs w:val="21"/>
              </w:rPr>
              <w:t>厂界外20 m处上风向设参照点，下风向设监控点</w:t>
            </w:r>
          </w:p>
        </w:tc>
        <w:tc>
          <w:tcPr>
            <w:tcW w:w="917" w:type="pct"/>
            <w:tcBorders>
              <w:tl2br w:val="nil"/>
              <w:tr2bl w:val="nil"/>
            </w:tcBorders>
            <w:noWrap/>
            <w:vAlign w:val="center"/>
          </w:tcPr>
          <w:p>
            <w:pPr>
              <w:autoSpaceDE w:val="0"/>
              <w:autoSpaceDN w:val="0"/>
              <w:ind w:firstLine="0" w:firstLineChars="0"/>
              <w:jc w:val="center"/>
              <w:rPr>
                <w:bCs/>
                <w:color w:val="auto"/>
                <w:szCs w:val="21"/>
              </w:rPr>
            </w:pPr>
            <w:r>
              <w:rPr>
                <w:rFonts w:hint="eastAsia"/>
                <w:color w:val="auto"/>
                <w:szCs w:val="21"/>
              </w:rPr>
              <w:t xml:space="preserve">0.5 </w:t>
            </w:r>
            <w:r>
              <w:rPr>
                <w:bCs/>
                <w:color w:val="auto"/>
                <w:szCs w:val="21"/>
              </w:rPr>
              <w:t>mg/m</w:t>
            </w:r>
            <w:r>
              <w:rPr>
                <w:bCs/>
                <w:color w:val="auto"/>
                <w:szCs w:val="21"/>
                <w:vertAlign w:val="superscript"/>
              </w:rPr>
              <w:t>3</w:t>
            </w:r>
          </w:p>
        </w:tc>
      </w:tr>
    </w:tbl>
    <w:p>
      <w:pPr>
        <w:pStyle w:val="40"/>
        <w:ind w:firstLine="480"/>
        <w:rPr>
          <w:rFonts w:hint="eastAsia"/>
          <w:color w:val="auto"/>
        </w:rPr>
      </w:pPr>
    </w:p>
    <w:p>
      <w:pPr>
        <w:rPr>
          <w:rFonts w:hint="eastAsia"/>
          <w:color w:val="auto"/>
        </w:rPr>
      </w:pPr>
    </w:p>
    <w:p>
      <w:pPr>
        <w:pStyle w:val="5"/>
        <w:tabs>
          <w:tab w:val="left" w:pos="3949"/>
        </w:tabs>
        <w:ind w:firstLine="281"/>
        <w:rPr>
          <w:color w:val="auto"/>
        </w:rPr>
      </w:pPr>
      <w:r>
        <w:rPr>
          <w:rFonts w:hint="eastAsia"/>
          <w:color w:val="auto"/>
        </w:rPr>
        <w:t>1.5 保护目标</w:t>
      </w:r>
    </w:p>
    <w:p>
      <w:pPr>
        <w:pStyle w:val="2"/>
        <w:spacing w:after="0"/>
        <w:ind w:firstLine="476"/>
        <w:jc w:val="left"/>
        <w:rPr>
          <w:rFonts w:hint="eastAsia" w:ascii="宋体" w:hAnsi="宋体" w:cs="宋体"/>
          <w:color w:val="auto"/>
          <w:spacing w:val="-1"/>
          <w:sz w:val="24"/>
        </w:rPr>
      </w:pPr>
      <w:r>
        <w:rPr>
          <w:rFonts w:ascii="宋体" w:hAnsi="宋体" w:cs="宋体"/>
          <w:color w:val="auto"/>
          <w:spacing w:val="-1"/>
          <w:sz w:val="24"/>
        </w:rPr>
        <w:t>项目主要环境保护目标详见下表。</w:t>
      </w:r>
    </w:p>
    <w:p>
      <w:pPr>
        <w:pStyle w:val="55"/>
        <w:widowControl/>
        <w:rPr>
          <w:rFonts w:hint="eastAsia" w:ascii="宋体" w:hAnsi="宋体" w:cs="宋体"/>
          <w:color w:val="auto"/>
          <w:spacing w:val="-1"/>
          <w:szCs w:val="24"/>
        </w:rPr>
      </w:pPr>
      <w:r>
        <w:rPr>
          <w:color w:val="auto"/>
        </w:rPr>
        <w:t>表</w:t>
      </w:r>
      <w:r>
        <w:rPr>
          <w:rFonts w:hint="eastAsia"/>
          <w:color w:val="auto"/>
        </w:rPr>
        <w:t xml:space="preserve">1-6  </w:t>
      </w:r>
      <w:r>
        <w:rPr>
          <w:color w:val="auto"/>
        </w:rPr>
        <w:t>环境保护目标一览表</w:t>
      </w:r>
    </w:p>
    <w:tbl>
      <w:tblPr>
        <w:tblStyle w:val="31"/>
        <w:tblpPr w:leftFromText="180" w:rightFromText="180" w:vertAnchor="text" w:tblpY="1"/>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7"/>
        <w:gridCol w:w="1938"/>
        <w:gridCol w:w="1643"/>
        <w:gridCol w:w="2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365" w:type="pct"/>
            <w:vAlign w:val="center"/>
          </w:tcPr>
          <w:p>
            <w:pPr>
              <w:pStyle w:val="54"/>
              <w:widowControl/>
              <w:spacing w:line="360" w:lineRule="auto"/>
              <w:rPr>
                <w:color w:val="auto"/>
              </w:rPr>
            </w:pPr>
            <w:r>
              <w:rPr>
                <w:color w:val="auto"/>
              </w:rPr>
              <w:t>保护目标</w:t>
            </w:r>
          </w:p>
        </w:tc>
        <w:tc>
          <w:tcPr>
            <w:tcW w:w="1137" w:type="pct"/>
            <w:vAlign w:val="center"/>
          </w:tcPr>
          <w:p>
            <w:pPr>
              <w:pStyle w:val="54"/>
              <w:widowControl/>
              <w:spacing w:line="360" w:lineRule="auto"/>
              <w:rPr>
                <w:color w:val="auto"/>
              </w:rPr>
            </w:pPr>
            <w:r>
              <w:rPr>
                <w:color w:val="auto"/>
              </w:rPr>
              <w:t>位置</w:t>
            </w:r>
          </w:p>
        </w:tc>
        <w:tc>
          <w:tcPr>
            <w:tcW w:w="964" w:type="pct"/>
            <w:vAlign w:val="center"/>
          </w:tcPr>
          <w:p>
            <w:pPr>
              <w:pStyle w:val="54"/>
              <w:widowControl/>
              <w:spacing w:line="360" w:lineRule="auto"/>
              <w:rPr>
                <w:color w:val="auto"/>
              </w:rPr>
            </w:pPr>
            <w:r>
              <w:rPr>
                <w:rFonts w:hint="eastAsia"/>
                <w:color w:val="auto"/>
              </w:rPr>
              <w:t>距离</w:t>
            </w:r>
          </w:p>
        </w:tc>
        <w:tc>
          <w:tcPr>
            <w:tcW w:w="1532" w:type="pct"/>
            <w:vAlign w:val="center"/>
          </w:tcPr>
          <w:p>
            <w:pPr>
              <w:pStyle w:val="54"/>
              <w:widowControl/>
              <w:spacing w:line="360" w:lineRule="auto"/>
              <w:rPr>
                <w:color w:val="auto"/>
              </w:rPr>
            </w:pPr>
            <w:r>
              <w:rPr>
                <w:color w:val="auto"/>
              </w:rPr>
              <w:t>受影响</w:t>
            </w:r>
            <w:r>
              <w:rPr>
                <w:rFonts w:hint="eastAsia"/>
                <w:color w:val="auto"/>
              </w:rPr>
              <w:t>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1365" w:type="pct"/>
            <w:vAlign w:val="center"/>
          </w:tcPr>
          <w:p>
            <w:pPr>
              <w:pStyle w:val="54"/>
              <w:widowControl/>
              <w:spacing w:line="360" w:lineRule="auto"/>
              <w:rPr>
                <w:color w:val="auto"/>
              </w:rPr>
            </w:pPr>
            <w:r>
              <w:rPr>
                <w:rFonts w:hint="eastAsia"/>
                <w:color w:val="auto"/>
              </w:rPr>
              <w:t>科加村</w:t>
            </w:r>
          </w:p>
        </w:tc>
        <w:tc>
          <w:tcPr>
            <w:tcW w:w="1137" w:type="pct"/>
            <w:vAlign w:val="center"/>
          </w:tcPr>
          <w:p>
            <w:pPr>
              <w:pStyle w:val="54"/>
              <w:spacing w:line="360" w:lineRule="auto"/>
              <w:rPr>
                <w:color w:val="auto"/>
              </w:rPr>
            </w:pPr>
            <w:r>
              <w:rPr>
                <w:rFonts w:hint="eastAsia"/>
                <w:color w:val="auto"/>
              </w:rPr>
              <w:t>东北侧</w:t>
            </w:r>
          </w:p>
        </w:tc>
        <w:tc>
          <w:tcPr>
            <w:tcW w:w="964" w:type="pct"/>
            <w:vAlign w:val="center"/>
          </w:tcPr>
          <w:p>
            <w:pPr>
              <w:pStyle w:val="54"/>
              <w:spacing w:line="360" w:lineRule="auto"/>
              <w:rPr>
                <w:color w:val="auto"/>
              </w:rPr>
            </w:pPr>
            <w:r>
              <w:rPr>
                <w:rFonts w:hint="eastAsia"/>
                <w:color w:val="auto"/>
              </w:rPr>
              <w:t>180m</w:t>
            </w:r>
          </w:p>
        </w:tc>
        <w:tc>
          <w:tcPr>
            <w:tcW w:w="1532" w:type="pct"/>
            <w:vAlign w:val="center"/>
          </w:tcPr>
          <w:p>
            <w:pPr>
              <w:pStyle w:val="54"/>
              <w:spacing w:line="360" w:lineRule="auto"/>
              <w:rPr>
                <w:color w:val="auto"/>
              </w:rPr>
            </w:pPr>
            <w:r>
              <w:rPr>
                <w:rFonts w:hint="eastAsia"/>
                <w:color w:val="auto"/>
              </w:rPr>
              <w:t>386人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1365" w:type="pct"/>
            <w:vAlign w:val="center"/>
          </w:tcPr>
          <w:p>
            <w:pPr>
              <w:pStyle w:val="54"/>
              <w:widowControl/>
              <w:spacing w:line="360" w:lineRule="auto"/>
              <w:rPr>
                <w:color w:val="auto"/>
              </w:rPr>
            </w:pPr>
            <w:r>
              <w:rPr>
                <w:rFonts w:hint="eastAsia"/>
                <w:color w:val="auto"/>
              </w:rPr>
              <w:t>塞隆社区</w:t>
            </w:r>
          </w:p>
        </w:tc>
        <w:tc>
          <w:tcPr>
            <w:tcW w:w="1137" w:type="pct"/>
            <w:vAlign w:val="center"/>
          </w:tcPr>
          <w:p>
            <w:pPr>
              <w:pStyle w:val="54"/>
              <w:spacing w:line="360" w:lineRule="auto"/>
              <w:rPr>
                <w:color w:val="auto"/>
              </w:rPr>
            </w:pPr>
            <w:r>
              <w:rPr>
                <w:rFonts w:hint="eastAsia"/>
                <w:color w:val="auto"/>
              </w:rPr>
              <w:t>西北侧</w:t>
            </w:r>
          </w:p>
        </w:tc>
        <w:tc>
          <w:tcPr>
            <w:tcW w:w="964" w:type="pct"/>
            <w:vAlign w:val="center"/>
          </w:tcPr>
          <w:p>
            <w:pPr>
              <w:pStyle w:val="54"/>
              <w:spacing w:line="360" w:lineRule="auto"/>
              <w:rPr>
                <w:color w:val="auto"/>
              </w:rPr>
            </w:pPr>
            <w:r>
              <w:rPr>
                <w:rFonts w:hint="eastAsia"/>
                <w:color w:val="auto"/>
              </w:rPr>
              <w:t>974m</w:t>
            </w:r>
          </w:p>
        </w:tc>
        <w:tc>
          <w:tcPr>
            <w:tcW w:w="1532" w:type="pct"/>
            <w:vAlign w:val="center"/>
          </w:tcPr>
          <w:p>
            <w:pPr>
              <w:pStyle w:val="54"/>
              <w:spacing w:line="360" w:lineRule="auto"/>
              <w:rPr>
                <w:color w:val="auto"/>
              </w:rPr>
            </w:pPr>
            <w:r>
              <w:rPr>
                <w:rFonts w:hint="eastAsia"/>
                <w:color w:val="auto"/>
              </w:rPr>
              <w:t>413人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1365" w:type="pct"/>
            <w:vAlign w:val="center"/>
          </w:tcPr>
          <w:p>
            <w:pPr>
              <w:pStyle w:val="54"/>
              <w:widowControl/>
              <w:spacing w:line="360" w:lineRule="auto"/>
              <w:rPr>
                <w:color w:val="auto"/>
              </w:rPr>
            </w:pPr>
            <w:r>
              <w:rPr>
                <w:rFonts w:hint="eastAsia"/>
                <w:color w:val="auto"/>
              </w:rPr>
              <w:t>贡麻村</w:t>
            </w:r>
          </w:p>
        </w:tc>
        <w:tc>
          <w:tcPr>
            <w:tcW w:w="1137" w:type="pct"/>
            <w:vAlign w:val="center"/>
          </w:tcPr>
          <w:p>
            <w:pPr>
              <w:pStyle w:val="54"/>
              <w:spacing w:line="360" w:lineRule="auto"/>
              <w:rPr>
                <w:color w:val="auto"/>
              </w:rPr>
            </w:pPr>
            <w:r>
              <w:rPr>
                <w:rFonts w:hint="eastAsia"/>
                <w:color w:val="auto"/>
              </w:rPr>
              <w:t>西北侧</w:t>
            </w:r>
          </w:p>
        </w:tc>
        <w:tc>
          <w:tcPr>
            <w:tcW w:w="964" w:type="pct"/>
            <w:vAlign w:val="center"/>
          </w:tcPr>
          <w:p>
            <w:pPr>
              <w:pStyle w:val="54"/>
              <w:spacing w:line="360" w:lineRule="auto"/>
              <w:rPr>
                <w:color w:val="auto"/>
              </w:rPr>
            </w:pPr>
            <w:r>
              <w:rPr>
                <w:rFonts w:hint="eastAsia"/>
                <w:color w:val="auto"/>
              </w:rPr>
              <w:t>2003m</w:t>
            </w:r>
          </w:p>
        </w:tc>
        <w:tc>
          <w:tcPr>
            <w:tcW w:w="1532" w:type="pct"/>
            <w:vAlign w:val="center"/>
          </w:tcPr>
          <w:p>
            <w:pPr>
              <w:pStyle w:val="54"/>
              <w:spacing w:line="360" w:lineRule="auto"/>
              <w:rPr>
                <w:color w:val="auto"/>
              </w:rPr>
            </w:pPr>
            <w:r>
              <w:rPr>
                <w:rFonts w:hint="eastAsia"/>
                <w:color w:val="auto"/>
              </w:rPr>
              <w:t>169人</w:t>
            </w:r>
          </w:p>
        </w:tc>
      </w:tr>
    </w:tbl>
    <w:p>
      <w:pPr>
        <w:pStyle w:val="2"/>
        <w:snapToGrid w:val="0"/>
        <w:spacing w:after="0" w:line="240" w:lineRule="auto"/>
        <w:ind w:firstLine="476"/>
        <w:jc w:val="left"/>
        <w:rPr>
          <w:rFonts w:hint="eastAsia" w:ascii="宋体" w:hAnsi="宋体" w:cs="宋体"/>
          <w:color w:val="auto"/>
          <w:spacing w:val="-1"/>
          <w:sz w:val="24"/>
        </w:rPr>
      </w:pPr>
    </w:p>
    <w:p>
      <w:pPr>
        <w:pStyle w:val="4"/>
        <w:snapToGrid w:val="0"/>
        <w:spacing w:line="240" w:lineRule="auto"/>
        <w:rPr>
          <w:color w:val="auto"/>
        </w:rPr>
      </w:pPr>
      <w:r>
        <w:rPr>
          <w:rFonts w:hint="eastAsia"/>
          <w:color w:val="auto"/>
        </w:rPr>
        <w:t>2 工程分析</w:t>
      </w:r>
    </w:p>
    <w:p>
      <w:pPr>
        <w:pStyle w:val="5"/>
        <w:tabs>
          <w:tab w:val="left" w:pos="3949"/>
        </w:tabs>
        <w:ind w:firstLine="281"/>
        <w:rPr>
          <w:color w:val="auto"/>
        </w:rPr>
      </w:pPr>
      <w:r>
        <w:rPr>
          <w:rFonts w:hint="eastAsia"/>
          <w:color w:val="auto"/>
        </w:rPr>
        <w:t>2.1 工艺流程及产污环节</w:t>
      </w:r>
    </w:p>
    <w:p>
      <w:pPr>
        <w:ind w:firstLine="480"/>
        <w:rPr>
          <w:rFonts w:hint="eastAsia" w:ascii="黑体" w:hAnsi="黑体" w:eastAsia="黑体" w:cs="黑体"/>
          <w:color w:val="auto"/>
        </w:rPr>
      </w:pPr>
      <w:r>
        <w:rPr>
          <w:rFonts w:hint="eastAsia" w:ascii="黑体" w:hAnsi="黑体" w:eastAsia="黑体" w:cs="黑体"/>
          <w:color w:val="auto"/>
        </w:rPr>
        <w:t>（1）环保沥青生产工艺</w:t>
      </w:r>
    </w:p>
    <w:p>
      <w:pPr>
        <w:pStyle w:val="11"/>
        <w:ind w:firstLine="480"/>
        <w:rPr>
          <w:rFonts w:hint="eastAsia" w:ascii="宋体" w:hAnsi="宋体" w:cs="宋体"/>
          <w:color w:val="auto"/>
        </w:rPr>
      </w:pPr>
      <w:r>
        <w:rPr>
          <w:rFonts w:hint="eastAsia" w:ascii="宋体" w:hAnsi="宋体" w:cs="宋体"/>
          <w:color w:val="auto"/>
        </w:rPr>
        <w:t>环保沥青生产工艺流程简述：</w:t>
      </w:r>
    </w:p>
    <w:p>
      <w:pPr>
        <w:pStyle w:val="11"/>
        <w:ind w:firstLine="480"/>
        <w:rPr>
          <w:rFonts w:hint="eastAsia" w:ascii="宋体" w:hAnsi="宋体" w:cs="宋体"/>
          <w:color w:val="auto"/>
        </w:rPr>
      </w:pPr>
      <w:r>
        <w:rPr>
          <w:rFonts w:hint="eastAsia" w:ascii="宋体" w:hAnsi="宋体" w:cs="宋体"/>
          <w:color w:val="auto"/>
        </w:rPr>
        <w:t>沥青混凝土由沥青、骨料混合拌制而成。其一般流程可分为沥青预处理和骨料预处理，经预处理后按一定比例配比混合即为成品。项目沥青预处理及骨料预处理等工序均在一体化设备内完成。</w:t>
      </w:r>
    </w:p>
    <w:p>
      <w:pPr>
        <w:pStyle w:val="12"/>
        <w:spacing w:after="0"/>
        <w:ind w:left="0" w:leftChars="0" w:firstLine="0" w:firstLineChars="0"/>
        <w:rPr>
          <w:color w:val="auto"/>
        </w:rPr>
      </w:pPr>
      <w:r>
        <w:rPr>
          <w:rFonts w:hint="eastAsia" w:ascii="宋体" w:hAnsi="宋体" w:cs="宋体"/>
          <w:color w:val="auto"/>
        </w:rPr>
        <w:t xml:space="preserve">    卸料、装料：砂石经卡车运入厂内，在厂房存放于料库，待加工；原料砂石子通过下沉式的地槽、密闭传送带转运至原料库内；沥青存放于沥青罐内，单罐沥青约 5 天周转一次。</w:t>
      </w:r>
    </w:p>
    <w:p>
      <w:pPr>
        <w:ind w:firstLine="480"/>
        <w:rPr>
          <w:rFonts w:hint="eastAsia" w:ascii="宋体" w:hAnsi="宋体" w:cs="宋体"/>
          <w:color w:val="auto"/>
        </w:rPr>
      </w:pPr>
      <w:r>
        <w:rPr>
          <w:rFonts w:hint="eastAsia" w:ascii="宋体" w:hAnsi="宋体" w:cs="宋体"/>
          <w:color w:val="auto"/>
        </w:rPr>
        <w:t>沥青预处理：沥青是石油工厂热解石油气原料时得到的副产品，由专用沥青运输车将沥青通过密闭沥青管道送至沥青储罐，项目沥青加热使用柴油锅炉将其加热至120-170℃，由沥青泵输送到沥青计量器，按一定比例进行配比混合，经混合后通过专用管道送入搅拌楼与骨料、再生铣刨料混合。沥青加热采用全封闭式加热。该工段主要污染物为锅炉运行过程中产生的烟尘、SO</w:t>
      </w:r>
      <w:r>
        <w:rPr>
          <w:rFonts w:hint="eastAsia" w:ascii="宋体" w:hAnsi="宋体" w:cs="宋体"/>
          <w:color w:val="auto"/>
          <w:vertAlign w:val="subscript"/>
        </w:rPr>
        <w:t>2</w:t>
      </w:r>
      <w:r>
        <w:rPr>
          <w:rFonts w:hint="eastAsia" w:ascii="宋体" w:hAnsi="宋体" w:cs="宋体"/>
          <w:color w:val="auto"/>
        </w:rPr>
        <w:t>及NO</w:t>
      </w:r>
      <w:r>
        <w:rPr>
          <w:rFonts w:hint="eastAsia" w:ascii="宋体" w:hAnsi="宋体" w:cs="宋体"/>
          <w:color w:val="auto"/>
          <w:vertAlign w:val="subscript"/>
        </w:rPr>
        <w:t>X</w:t>
      </w:r>
      <w:r>
        <w:rPr>
          <w:rFonts w:hint="eastAsia" w:ascii="宋体" w:hAnsi="宋体" w:cs="宋体"/>
          <w:color w:val="auto"/>
        </w:rPr>
        <w:t>；沥青加热过程中产生的苯并[a]芘及沥青烟等。</w:t>
      </w:r>
    </w:p>
    <w:p>
      <w:pPr>
        <w:pStyle w:val="11"/>
        <w:ind w:firstLine="480"/>
        <w:rPr>
          <w:rFonts w:hint="eastAsia" w:ascii="宋体" w:hAnsi="宋体" w:cs="宋体"/>
          <w:color w:val="auto"/>
        </w:rPr>
      </w:pPr>
      <w:r>
        <w:rPr>
          <w:rFonts w:hint="eastAsia" w:ascii="宋体" w:hAnsi="宋体" w:cs="宋体"/>
          <w:color w:val="auto"/>
        </w:rPr>
        <w:t>骨料预处理：为使沥青产品不至于因过快冷却而带来运输上不便，骨料在与沥青拌合前也要经过热处理。骨料（主要是砂石料）自动进入烘干筒，（首先启动重油燃烧器，点火成功后将引风机门开到40%，紧接着上冷骨料，开大火，不断加热，烘干筒不停转动，以使骨料受热均匀，随后，加热的骨料通过骨料提升机送到粒度检控系统内经过振动筛分，让符合产品要求的骨料通过，经计量后送入搅拌楼；少数不合规格的骨料被分离后用于道路铺设；烘干转筒、粒度控制筛都在密闭的设备内工作，其振动筛分产生的粉尘由系统内的布袋捕集回收后送入搅拌楼，同时进入搅拌楼的还有矿粉（主要成分是石灰石）。</w:t>
      </w:r>
    </w:p>
    <w:p>
      <w:pPr>
        <w:pStyle w:val="11"/>
        <w:ind w:firstLine="480"/>
        <w:rPr>
          <w:rFonts w:hint="eastAsia" w:ascii="宋体" w:hAnsi="宋体" w:cs="宋体"/>
          <w:color w:val="auto"/>
        </w:rPr>
      </w:pPr>
      <w:r>
        <w:rPr>
          <w:rFonts w:hint="eastAsia" w:ascii="宋体" w:hAnsi="宋体" w:cs="宋体"/>
          <w:color w:val="auto"/>
        </w:rPr>
        <w:t>拌合：矿粉通过配料斗、分料提升机、计量器进入拌缸；进入拌缸的骨料、粉料等经与油罐送来的热沥青拌合后才成为成品，整个过程都在密闭系统中进行。成品出料由趟开小斗车经滑道提升到成品仓后装入运输车斗送出，生产出料过程为间断式。该工段主要污染物为重油燃烧产生的烟尘、SO</w:t>
      </w:r>
      <w:r>
        <w:rPr>
          <w:rFonts w:hint="eastAsia" w:ascii="宋体" w:hAnsi="宋体" w:cs="宋体"/>
          <w:color w:val="auto"/>
          <w:vertAlign w:val="subscript"/>
        </w:rPr>
        <w:t>2</w:t>
      </w:r>
      <w:r>
        <w:rPr>
          <w:rFonts w:hint="eastAsia" w:ascii="宋体" w:hAnsi="宋体" w:cs="宋体"/>
          <w:color w:val="auto"/>
        </w:rPr>
        <w:t>及NO</w:t>
      </w:r>
      <w:r>
        <w:rPr>
          <w:rFonts w:hint="eastAsia" w:ascii="宋体" w:hAnsi="宋体" w:cs="宋体"/>
          <w:color w:val="auto"/>
          <w:vertAlign w:val="subscript"/>
        </w:rPr>
        <w:t>X</w:t>
      </w:r>
      <w:r>
        <w:rPr>
          <w:rFonts w:hint="eastAsia" w:ascii="宋体" w:hAnsi="宋体" w:cs="宋体"/>
          <w:color w:val="auto"/>
        </w:rPr>
        <w:t>；沥青加热过程中产生的沥青烟及苯并[a]芘等。</w:t>
      </w:r>
    </w:p>
    <w:p>
      <w:pPr>
        <w:snapToGrid w:val="0"/>
        <w:ind w:firstLine="482"/>
        <w:rPr>
          <w:b/>
          <w:bCs/>
          <w:color w:val="auto"/>
        </w:rPr>
      </w:pPr>
      <w:r>
        <w:rPr>
          <w:rFonts w:hint="eastAsia"/>
          <w:b/>
          <w:bCs/>
          <w:color w:val="auto"/>
        </w:rPr>
        <w:t>（2）混凝土生产工艺流程</w:t>
      </w:r>
    </w:p>
    <w:p>
      <w:pPr>
        <w:ind w:firstLine="482"/>
        <w:rPr>
          <w:b/>
          <w:color w:val="auto"/>
        </w:rPr>
      </w:pPr>
      <w:r>
        <w:rPr>
          <w:rFonts w:hAnsi="宋体"/>
          <w:b/>
          <w:color w:val="auto"/>
        </w:rPr>
        <w:t>工艺流程说明：</w:t>
      </w:r>
    </w:p>
    <w:p>
      <w:pPr>
        <w:ind w:firstLine="480"/>
        <w:rPr>
          <w:color w:val="auto"/>
        </w:rPr>
      </w:pPr>
      <w:r>
        <w:rPr>
          <w:rFonts w:hAnsi="宋体"/>
          <w:color w:val="auto"/>
        </w:rPr>
        <w:t>本项目工艺混合、搅拌过程均为物理反应，无化学反应。</w:t>
      </w:r>
    </w:p>
    <w:p>
      <w:pPr>
        <w:ind w:firstLine="480"/>
        <w:rPr>
          <w:color w:val="auto"/>
        </w:rPr>
      </w:pPr>
      <w:r>
        <w:rPr>
          <w:color w:val="auto"/>
        </w:rPr>
        <w:t>1</w:t>
      </w:r>
      <w:r>
        <w:rPr>
          <w:rFonts w:hAnsi="宋体"/>
          <w:color w:val="auto"/>
        </w:rPr>
        <w:t>）原辅料</w:t>
      </w:r>
      <w:r>
        <w:rPr>
          <w:rFonts w:hint="eastAsia" w:hAnsi="宋体"/>
          <w:color w:val="auto"/>
        </w:rPr>
        <w:t>储存</w:t>
      </w:r>
    </w:p>
    <w:p>
      <w:pPr>
        <w:ind w:firstLine="480"/>
        <w:rPr>
          <w:rFonts w:hint="eastAsia" w:hAnsi="宋体"/>
          <w:color w:val="auto"/>
        </w:rPr>
      </w:pPr>
      <w:r>
        <w:rPr>
          <w:rFonts w:hint="eastAsia" w:hAnsi="宋体"/>
          <w:color w:val="auto"/>
        </w:rPr>
        <w:t>砂、石分别通过有遮盖的材料车运送进厂区内的原料堆场内，原料堆场采用彩钢进行全封闭，在原料堆场四周及顶部设置一定数量的固定式喷雾降尘装置。</w:t>
      </w:r>
      <w:r>
        <w:rPr>
          <w:rFonts w:hAnsi="宋体"/>
          <w:color w:val="auto"/>
        </w:rPr>
        <w:t>水泥、 粉煤灰由全密闭罐车运送进厂区内，用螺杆</w:t>
      </w:r>
      <w:r>
        <w:rPr>
          <w:rFonts w:hint="eastAsia" w:hAnsi="宋体"/>
          <w:color w:val="auto"/>
        </w:rPr>
        <w:t>输送机</w:t>
      </w:r>
      <w:r>
        <w:rPr>
          <w:rFonts w:hAnsi="宋体"/>
          <w:color w:val="auto"/>
        </w:rPr>
        <w:t>送入对应筒仓中储存</w:t>
      </w:r>
      <w:r>
        <w:rPr>
          <w:rFonts w:hint="eastAsia" w:hAnsi="宋体"/>
          <w:color w:val="auto"/>
        </w:rPr>
        <w:t>。</w:t>
      </w:r>
    </w:p>
    <w:p>
      <w:pPr>
        <w:ind w:firstLine="480"/>
        <w:rPr>
          <w:color w:val="auto"/>
        </w:rPr>
      </w:pPr>
      <w:r>
        <w:rPr>
          <w:color w:val="auto"/>
        </w:rPr>
        <w:t>2</w:t>
      </w:r>
      <w:r>
        <w:rPr>
          <w:rFonts w:hAnsi="宋体"/>
          <w:color w:val="auto"/>
        </w:rPr>
        <w:t>）</w:t>
      </w:r>
      <w:r>
        <w:rPr>
          <w:rFonts w:hint="eastAsia" w:hAnsi="宋体"/>
          <w:color w:val="auto"/>
        </w:rPr>
        <w:t>物料配料及储运</w:t>
      </w:r>
    </w:p>
    <w:p>
      <w:pPr>
        <w:ind w:firstLine="480"/>
        <w:rPr>
          <w:rFonts w:hint="eastAsia" w:hAnsi="宋体"/>
          <w:color w:val="auto"/>
        </w:rPr>
      </w:pPr>
      <w:r>
        <w:rPr>
          <w:rFonts w:hint="eastAsia" w:hAnsi="宋体"/>
          <w:color w:val="auto"/>
        </w:rPr>
        <w:t>砂、石的配料系统（配料机）与原料堆场设置在同一封闭车间内进行作业。机制砂和碎石采用装载机铲装运输至配料斗。配料斗设有称量计量装置，根据指令控制比例后将原料卸在传输皮带上然后运入搅拌机，传输皮带采用封闭式</w:t>
      </w:r>
      <w:r>
        <w:rPr>
          <w:rFonts w:hAnsi="宋体"/>
          <w:color w:val="auto"/>
        </w:rPr>
        <w:t>廊</w:t>
      </w:r>
      <w:r>
        <w:rPr>
          <w:rFonts w:hint="eastAsia" w:hAnsi="宋体"/>
          <w:color w:val="auto"/>
        </w:rPr>
        <w:t>道。水泥及粉煤灰通过螺旋输送机输送至计量设备，经计量后进入搅拌机；</w:t>
      </w:r>
      <w:r>
        <w:rPr>
          <w:rFonts w:hAnsi="宋体"/>
          <w:color w:val="auto"/>
        </w:rPr>
        <w:t>搅拌用水及外加剂采用压力供水及水泵上料。</w:t>
      </w:r>
    </w:p>
    <w:p>
      <w:pPr>
        <w:ind w:firstLine="480"/>
        <w:rPr>
          <w:color w:val="auto"/>
        </w:rPr>
      </w:pPr>
      <w:r>
        <w:rPr>
          <w:color w:val="auto"/>
        </w:rPr>
        <w:t>3</w:t>
      </w:r>
      <w:r>
        <w:rPr>
          <w:rFonts w:hAnsi="宋体"/>
          <w:color w:val="auto"/>
        </w:rPr>
        <w:t>）搅拌</w:t>
      </w:r>
    </w:p>
    <w:p>
      <w:pPr>
        <w:ind w:firstLine="480"/>
        <w:rPr>
          <w:color w:val="auto"/>
        </w:rPr>
      </w:pPr>
      <w:r>
        <w:rPr>
          <w:rFonts w:hAnsi="宋体"/>
          <w:color w:val="auto"/>
        </w:rPr>
        <w:t>各种原料经计量之后进入搅拌机内进行强制搅拌。搅拌过程采用电脑控制，从而保证混凝土的品质。</w:t>
      </w:r>
    </w:p>
    <w:p>
      <w:pPr>
        <w:ind w:firstLine="480"/>
        <w:rPr>
          <w:rFonts w:hint="eastAsia" w:hAnsi="宋体"/>
          <w:color w:val="auto"/>
        </w:rPr>
      </w:pPr>
      <w:r>
        <w:rPr>
          <w:rFonts w:hAnsi="宋体"/>
          <w:color w:val="auto"/>
        </w:rPr>
        <w:t>搅拌机工作原理：在搅拌机内相互反转的两根搅拌轴的搅拌下，受到桨片周向、径向、轴向力的作用，使物料一边相互产生挤压、摩擦、剪切、对流从而进行强烈的拌合，一边向出料口推移，当物料到达机内的出料口时，各种物料已相互得到均匀的拌合，并具有压实所需要的含水量。</w:t>
      </w:r>
    </w:p>
    <w:p>
      <w:pPr>
        <w:ind w:firstLine="480"/>
        <w:rPr>
          <w:color w:val="auto"/>
        </w:rPr>
      </w:pPr>
      <w:r>
        <w:rPr>
          <w:rFonts w:hAnsi="宋体"/>
          <w:color w:val="auto"/>
        </w:rPr>
        <w:t>搅拌机定期用清水进行内部冲洗，其废水排入三级沉淀池，沉淀处理后的水作为拌合用水回用于搅拌机，不外排。</w:t>
      </w:r>
    </w:p>
    <w:p>
      <w:pPr>
        <w:ind w:firstLine="480"/>
        <w:rPr>
          <w:color w:val="auto"/>
        </w:rPr>
      </w:pPr>
      <w:r>
        <w:rPr>
          <w:color w:val="auto"/>
        </w:rPr>
        <w:t>4</w:t>
      </w:r>
      <w:r>
        <w:rPr>
          <w:rFonts w:hAnsi="宋体"/>
          <w:color w:val="auto"/>
        </w:rPr>
        <w:t>）成品</w:t>
      </w:r>
    </w:p>
    <w:p>
      <w:pPr>
        <w:ind w:firstLine="480"/>
        <w:rPr>
          <w:color w:val="auto"/>
        </w:rPr>
      </w:pPr>
      <w:r>
        <w:rPr>
          <w:rFonts w:hAnsi="宋体"/>
          <w:color w:val="auto"/>
        </w:rPr>
        <w:t>生产出的混凝土成品由混凝土运输</w:t>
      </w:r>
      <w:r>
        <w:rPr>
          <w:rFonts w:hint="eastAsia" w:hAnsi="宋体"/>
          <w:color w:val="auto"/>
        </w:rPr>
        <w:t>罐</w:t>
      </w:r>
      <w:r>
        <w:rPr>
          <w:rFonts w:hAnsi="宋体"/>
          <w:color w:val="auto"/>
        </w:rPr>
        <w:t>车直接装运，送往施工工地。</w:t>
      </w:r>
    </w:p>
    <w:p>
      <w:pPr>
        <w:ind w:firstLine="480"/>
        <w:rPr>
          <w:color w:val="auto"/>
        </w:rPr>
      </w:pPr>
      <w:r>
        <w:rPr>
          <w:rFonts w:hAnsi="宋体"/>
          <w:color w:val="auto"/>
        </w:rPr>
        <w:t>混凝土运输</w:t>
      </w:r>
      <w:r>
        <w:rPr>
          <w:rFonts w:hint="eastAsia" w:hAnsi="宋体"/>
          <w:color w:val="auto"/>
        </w:rPr>
        <w:t>罐</w:t>
      </w:r>
      <w:r>
        <w:rPr>
          <w:rFonts w:hAnsi="宋体"/>
          <w:color w:val="auto"/>
        </w:rPr>
        <w:t>车用清水进行内部冲洗，其废水排入沉淀池处理后的水作为拌合用水回用于搅拌机，不外排。</w:t>
      </w:r>
    </w:p>
    <w:p>
      <w:pPr>
        <w:pStyle w:val="11"/>
        <w:ind w:firstLine="0" w:firstLineChars="0"/>
        <w:jc w:val="center"/>
        <w:rPr>
          <w:b/>
          <w:bCs/>
          <w:color w:val="auto"/>
        </w:rPr>
      </w:pPr>
      <w:r>
        <w:rPr>
          <w:color w:val="auto"/>
        </w:rPr>
        <w:drawing>
          <wp:inline distT="0" distB="0" distL="114300" distR="114300">
            <wp:extent cx="5520690" cy="3854450"/>
            <wp:effectExtent l="0" t="0" r="3810" b="1270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9"/>
                    <a:stretch>
                      <a:fillRect/>
                    </a:stretch>
                  </pic:blipFill>
                  <pic:spPr>
                    <a:xfrm>
                      <a:off x="0" y="0"/>
                      <a:ext cx="5520690" cy="3854450"/>
                    </a:xfrm>
                    <a:prstGeom prst="rect">
                      <a:avLst/>
                    </a:prstGeom>
                    <a:noFill/>
                    <a:ln>
                      <a:noFill/>
                    </a:ln>
                  </pic:spPr>
                </pic:pic>
              </a:graphicData>
            </a:graphic>
          </wp:inline>
        </w:drawing>
      </w:r>
    </w:p>
    <w:p>
      <w:pPr>
        <w:ind w:firstLine="482"/>
        <w:jc w:val="center"/>
        <w:rPr>
          <w:rFonts w:hint="eastAsia" w:ascii="宋体" w:hAnsi="宋体" w:cs="宋体"/>
          <w:b/>
          <w:bCs/>
          <w:color w:val="auto"/>
        </w:rPr>
      </w:pPr>
      <w:r>
        <w:rPr>
          <w:rFonts w:hint="eastAsia" w:ascii="宋体" w:hAnsi="宋体" w:cs="宋体"/>
          <w:b/>
          <w:bCs/>
          <w:color w:val="auto"/>
        </w:rPr>
        <w:t>图1  工艺流程及产污环节示意图</w:t>
      </w:r>
    </w:p>
    <w:p>
      <w:pPr>
        <w:ind w:firstLine="480"/>
        <w:rPr>
          <w:color w:val="auto"/>
        </w:rPr>
      </w:pPr>
    </w:p>
    <w:p>
      <w:pPr>
        <w:snapToGrid w:val="0"/>
        <w:ind w:firstLine="0" w:firstLineChars="0"/>
        <w:rPr>
          <w:b/>
          <w:color w:val="auto"/>
        </w:rPr>
      </w:pPr>
      <w:r>
        <w:rPr>
          <w:rFonts w:hint="eastAsia"/>
          <w:b/>
          <w:color w:val="auto"/>
        </w:rPr>
        <w:drawing>
          <wp:inline distT="0" distB="0" distL="114300" distR="114300">
            <wp:extent cx="5305425" cy="6496685"/>
            <wp:effectExtent l="0" t="0" r="9525" b="1841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0"/>
                    <a:stretch>
                      <a:fillRect/>
                    </a:stretch>
                  </pic:blipFill>
                  <pic:spPr>
                    <a:xfrm>
                      <a:off x="0" y="0"/>
                      <a:ext cx="5305425" cy="6496685"/>
                    </a:xfrm>
                    <a:prstGeom prst="rect">
                      <a:avLst/>
                    </a:prstGeom>
                    <a:noFill/>
                    <a:ln>
                      <a:noFill/>
                    </a:ln>
                  </pic:spPr>
                </pic:pic>
              </a:graphicData>
            </a:graphic>
          </wp:inline>
        </w:drawing>
      </w:r>
    </w:p>
    <w:p>
      <w:pPr>
        <w:spacing w:before="78" w:beforeLines="25"/>
        <w:ind w:firstLine="0" w:firstLineChars="0"/>
        <w:jc w:val="center"/>
        <w:rPr>
          <w:rFonts w:hint="eastAsia" w:hAnsi="宋体"/>
          <w:b/>
          <w:color w:val="auto"/>
        </w:rPr>
      </w:pPr>
      <w:r>
        <w:rPr>
          <w:rFonts w:hint="eastAsia" w:hAnsi="宋体"/>
          <w:b/>
          <w:color w:val="auto"/>
        </w:rPr>
        <w:t>图2</w:t>
      </w:r>
      <w:r>
        <w:rPr>
          <w:rFonts w:hint="eastAsia"/>
          <w:color w:val="auto"/>
        </w:rPr>
        <w:t xml:space="preserve"> </w:t>
      </w:r>
      <w:r>
        <w:rPr>
          <w:rFonts w:hint="eastAsia" w:hAnsi="宋体"/>
          <w:b/>
          <w:color w:val="auto"/>
        </w:rPr>
        <w:t xml:space="preserve"> 项目生产工艺流程及产污环节框图</w:t>
      </w:r>
    </w:p>
    <w:p>
      <w:pPr>
        <w:spacing w:before="78" w:beforeLines="25"/>
        <w:ind w:firstLine="0" w:firstLineChars="0"/>
        <w:jc w:val="center"/>
        <w:rPr>
          <w:rFonts w:hint="eastAsia" w:hAnsi="宋体"/>
          <w:b/>
          <w:color w:val="auto"/>
        </w:rPr>
      </w:pPr>
    </w:p>
    <w:p>
      <w:pPr>
        <w:spacing w:before="78" w:beforeLines="25"/>
        <w:ind w:firstLine="0" w:firstLineChars="0"/>
        <w:jc w:val="center"/>
        <w:rPr>
          <w:rFonts w:hint="eastAsia" w:hAnsi="宋体"/>
          <w:b/>
          <w:color w:val="auto"/>
        </w:rPr>
      </w:pPr>
    </w:p>
    <w:p>
      <w:pPr>
        <w:spacing w:before="78" w:beforeLines="25"/>
        <w:ind w:firstLine="0" w:firstLineChars="0"/>
        <w:jc w:val="center"/>
        <w:rPr>
          <w:rFonts w:hint="eastAsia" w:hAnsi="宋体"/>
          <w:b/>
          <w:color w:val="auto"/>
        </w:rPr>
      </w:pPr>
    </w:p>
    <w:p>
      <w:pPr>
        <w:spacing w:before="78" w:beforeLines="25"/>
        <w:ind w:firstLine="0" w:firstLineChars="0"/>
        <w:jc w:val="center"/>
        <w:rPr>
          <w:rFonts w:hint="eastAsia" w:hAnsi="宋体"/>
          <w:b/>
          <w:color w:val="auto"/>
        </w:rPr>
      </w:pPr>
    </w:p>
    <w:p>
      <w:pPr>
        <w:spacing w:before="78" w:beforeLines="25"/>
        <w:ind w:firstLine="0" w:firstLineChars="0"/>
        <w:jc w:val="center"/>
        <w:rPr>
          <w:rFonts w:hint="eastAsia" w:hAnsi="宋体"/>
          <w:b/>
          <w:color w:val="auto"/>
        </w:rPr>
      </w:pPr>
    </w:p>
    <w:p>
      <w:pPr>
        <w:ind w:left="480" w:leftChars="200" w:firstLine="0" w:firstLineChars="0"/>
        <w:jc w:val="center"/>
        <w:rPr>
          <w:b/>
          <w:color w:val="auto"/>
        </w:rPr>
      </w:pPr>
      <w:r>
        <w:rPr>
          <w:rFonts w:hint="eastAsia"/>
          <w:b/>
          <w:color w:val="auto"/>
        </w:rPr>
        <w:t xml:space="preserve">表2-1  </w:t>
      </w:r>
      <w:r>
        <w:rPr>
          <w:b/>
          <w:color w:val="auto"/>
        </w:rPr>
        <w:t>产污</w:t>
      </w:r>
      <w:r>
        <w:rPr>
          <w:rFonts w:hint="eastAsia" w:ascii="宋体" w:hAnsi="宋体"/>
          <w:b/>
          <w:color w:val="auto"/>
        </w:rPr>
        <w:t>环节</w:t>
      </w:r>
      <w:r>
        <w:rPr>
          <w:b/>
          <w:color w:val="auto"/>
        </w:rPr>
        <w:t>一览表</w:t>
      </w:r>
    </w:p>
    <w:tbl>
      <w:tblPr>
        <w:tblStyle w:val="3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161"/>
        <w:gridCol w:w="1664"/>
        <w:gridCol w:w="3331"/>
        <w:gridCol w:w="22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94" w:type="pct"/>
            <w:tcBorders>
              <w:tl2br w:val="nil"/>
              <w:tr2bl w:val="nil"/>
            </w:tcBorders>
            <w:vAlign w:val="center"/>
          </w:tcPr>
          <w:p>
            <w:pPr>
              <w:pStyle w:val="54"/>
              <w:adjustRightInd/>
              <w:snapToGrid/>
              <w:spacing w:line="240" w:lineRule="atLeast"/>
              <w:rPr>
                <w:b/>
                <w:color w:val="auto"/>
              </w:rPr>
            </w:pPr>
            <w:r>
              <w:rPr>
                <w:b/>
                <w:color w:val="auto"/>
              </w:rPr>
              <w:t>污染物类型</w:t>
            </w:r>
          </w:p>
        </w:tc>
        <w:tc>
          <w:tcPr>
            <w:tcW w:w="995" w:type="pct"/>
            <w:tcBorders>
              <w:tl2br w:val="nil"/>
              <w:tr2bl w:val="nil"/>
            </w:tcBorders>
            <w:vAlign w:val="center"/>
          </w:tcPr>
          <w:p>
            <w:pPr>
              <w:pStyle w:val="54"/>
              <w:adjustRightInd/>
              <w:snapToGrid/>
              <w:spacing w:line="240" w:lineRule="atLeast"/>
              <w:rPr>
                <w:b/>
                <w:color w:val="auto"/>
              </w:rPr>
            </w:pPr>
            <w:r>
              <w:rPr>
                <w:rFonts w:hint="eastAsia"/>
                <w:b/>
                <w:color w:val="auto"/>
              </w:rPr>
              <w:t>产污位置</w:t>
            </w:r>
          </w:p>
        </w:tc>
        <w:tc>
          <w:tcPr>
            <w:tcW w:w="1992" w:type="pct"/>
            <w:tcBorders>
              <w:tl2br w:val="nil"/>
              <w:tr2bl w:val="nil"/>
            </w:tcBorders>
            <w:vAlign w:val="center"/>
          </w:tcPr>
          <w:p>
            <w:pPr>
              <w:pStyle w:val="54"/>
              <w:adjustRightInd/>
              <w:snapToGrid/>
              <w:spacing w:line="240" w:lineRule="atLeast"/>
              <w:rPr>
                <w:b/>
                <w:color w:val="auto"/>
              </w:rPr>
            </w:pPr>
            <w:r>
              <w:rPr>
                <w:b/>
                <w:color w:val="auto"/>
              </w:rPr>
              <w:t>产污环节</w:t>
            </w:r>
          </w:p>
        </w:tc>
        <w:tc>
          <w:tcPr>
            <w:tcW w:w="1317" w:type="pct"/>
            <w:tcBorders>
              <w:tl2br w:val="nil"/>
              <w:tr2bl w:val="nil"/>
            </w:tcBorders>
            <w:vAlign w:val="center"/>
          </w:tcPr>
          <w:p>
            <w:pPr>
              <w:pStyle w:val="54"/>
              <w:adjustRightInd/>
              <w:snapToGrid/>
              <w:spacing w:line="240" w:lineRule="atLeast"/>
              <w:rPr>
                <w:b/>
                <w:color w:val="auto"/>
              </w:rPr>
            </w:pPr>
            <w:r>
              <w:rPr>
                <w:b/>
                <w:color w:val="auto"/>
              </w:rPr>
              <w:t>污染物种类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94" w:type="pct"/>
            <w:vMerge w:val="restart"/>
            <w:tcBorders>
              <w:tl2br w:val="nil"/>
              <w:tr2bl w:val="nil"/>
            </w:tcBorders>
            <w:vAlign w:val="center"/>
          </w:tcPr>
          <w:p>
            <w:pPr>
              <w:pStyle w:val="54"/>
              <w:adjustRightInd/>
              <w:snapToGrid/>
              <w:spacing w:line="240" w:lineRule="atLeast"/>
              <w:rPr>
                <w:color w:val="auto"/>
              </w:rPr>
            </w:pPr>
            <w:r>
              <w:rPr>
                <w:color w:val="auto"/>
              </w:rPr>
              <w:t>废气</w:t>
            </w:r>
          </w:p>
        </w:tc>
        <w:tc>
          <w:tcPr>
            <w:tcW w:w="995" w:type="pct"/>
            <w:tcBorders>
              <w:tl2br w:val="nil"/>
              <w:tr2bl w:val="nil"/>
            </w:tcBorders>
            <w:vAlign w:val="center"/>
          </w:tcPr>
          <w:p>
            <w:pPr>
              <w:ind w:firstLine="0" w:firstLineChars="0"/>
              <w:jc w:val="center"/>
              <w:rPr>
                <w:color w:val="auto"/>
                <w:sz w:val="21"/>
                <w:szCs w:val="21"/>
              </w:rPr>
            </w:pPr>
            <w:r>
              <w:rPr>
                <w:rFonts w:hint="eastAsia"/>
                <w:color w:val="auto"/>
                <w:sz w:val="21"/>
                <w:szCs w:val="21"/>
              </w:rPr>
              <w:t>厂区道路</w:t>
            </w:r>
          </w:p>
        </w:tc>
        <w:tc>
          <w:tcPr>
            <w:tcW w:w="1992" w:type="pct"/>
            <w:tcBorders>
              <w:tl2br w:val="nil"/>
              <w:tr2bl w:val="nil"/>
            </w:tcBorders>
            <w:vAlign w:val="center"/>
          </w:tcPr>
          <w:p>
            <w:pPr>
              <w:ind w:firstLine="0" w:firstLineChars="0"/>
              <w:jc w:val="center"/>
              <w:rPr>
                <w:color w:val="auto"/>
                <w:sz w:val="21"/>
                <w:szCs w:val="21"/>
              </w:rPr>
            </w:pPr>
            <w:r>
              <w:rPr>
                <w:rFonts w:hint="eastAsia"/>
                <w:color w:val="auto"/>
                <w:sz w:val="21"/>
                <w:szCs w:val="21"/>
              </w:rPr>
              <w:t>车辆运输粉尘</w:t>
            </w:r>
          </w:p>
        </w:tc>
        <w:tc>
          <w:tcPr>
            <w:tcW w:w="1317" w:type="pct"/>
            <w:tcBorders>
              <w:tl2br w:val="nil"/>
              <w:tr2bl w:val="nil"/>
            </w:tcBorders>
            <w:vAlign w:val="center"/>
          </w:tcPr>
          <w:p>
            <w:pPr>
              <w:ind w:firstLine="0" w:firstLineChars="0"/>
              <w:jc w:val="center"/>
              <w:rPr>
                <w:color w:val="auto"/>
                <w:sz w:val="21"/>
                <w:szCs w:val="21"/>
              </w:rPr>
            </w:pPr>
            <w:r>
              <w:rPr>
                <w:rFonts w:hint="eastAsia"/>
                <w:color w:val="auto"/>
                <w:sz w:val="21"/>
                <w:szCs w:val="21"/>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94" w:type="pct"/>
            <w:vMerge w:val="continue"/>
            <w:tcBorders>
              <w:tl2br w:val="nil"/>
              <w:tr2bl w:val="nil"/>
            </w:tcBorders>
            <w:vAlign w:val="center"/>
          </w:tcPr>
          <w:p>
            <w:pPr>
              <w:pStyle w:val="54"/>
              <w:adjustRightInd/>
              <w:snapToGrid/>
              <w:spacing w:line="240" w:lineRule="atLeast"/>
              <w:rPr>
                <w:color w:val="auto"/>
              </w:rPr>
            </w:pPr>
          </w:p>
        </w:tc>
        <w:tc>
          <w:tcPr>
            <w:tcW w:w="995" w:type="pct"/>
            <w:tcBorders>
              <w:tl2br w:val="nil"/>
              <w:tr2bl w:val="nil"/>
            </w:tcBorders>
            <w:vAlign w:val="center"/>
          </w:tcPr>
          <w:p>
            <w:pPr>
              <w:ind w:firstLine="0" w:firstLineChars="0"/>
              <w:jc w:val="center"/>
              <w:rPr>
                <w:color w:val="auto"/>
                <w:sz w:val="21"/>
                <w:szCs w:val="21"/>
              </w:rPr>
            </w:pPr>
            <w:r>
              <w:rPr>
                <w:rFonts w:hint="eastAsia"/>
                <w:color w:val="auto"/>
                <w:sz w:val="21"/>
                <w:szCs w:val="21"/>
              </w:rPr>
              <w:t>原料堆场</w:t>
            </w:r>
          </w:p>
        </w:tc>
        <w:tc>
          <w:tcPr>
            <w:tcW w:w="1992" w:type="pct"/>
            <w:tcBorders>
              <w:tl2br w:val="nil"/>
              <w:tr2bl w:val="nil"/>
            </w:tcBorders>
            <w:vAlign w:val="center"/>
          </w:tcPr>
          <w:p>
            <w:pPr>
              <w:ind w:firstLine="0" w:firstLineChars="0"/>
              <w:jc w:val="center"/>
              <w:rPr>
                <w:color w:val="auto"/>
                <w:sz w:val="21"/>
                <w:szCs w:val="21"/>
              </w:rPr>
            </w:pPr>
            <w:r>
              <w:rPr>
                <w:rFonts w:hint="eastAsia"/>
                <w:color w:val="auto"/>
                <w:sz w:val="21"/>
                <w:szCs w:val="21"/>
              </w:rPr>
              <w:t>砂石料装卸及运输扬尘</w:t>
            </w:r>
          </w:p>
        </w:tc>
        <w:tc>
          <w:tcPr>
            <w:tcW w:w="1317" w:type="pct"/>
            <w:tcBorders>
              <w:tl2br w:val="nil"/>
              <w:tr2bl w:val="nil"/>
            </w:tcBorders>
            <w:vAlign w:val="center"/>
          </w:tcPr>
          <w:p>
            <w:pPr>
              <w:ind w:firstLine="0" w:firstLineChars="0"/>
              <w:jc w:val="center"/>
              <w:rPr>
                <w:color w:val="auto"/>
                <w:sz w:val="21"/>
                <w:szCs w:val="21"/>
              </w:rPr>
            </w:pPr>
            <w:r>
              <w:rPr>
                <w:rFonts w:hint="eastAsia"/>
                <w:color w:val="auto"/>
                <w:sz w:val="21"/>
                <w:szCs w:val="21"/>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94" w:type="pct"/>
            <w:vMerge w:val="continue"/>
            <w:tcBorders>
              <w:tl2br w:val="nil"/>
              <w:tr2bl w:val="nil"/>
            </w:tcBorders>
            <w:vAlign w:val="center"/>
          </w:tcPr>
          <w:p>
            <w:pPr>
              <w:pStyle w:val="54"/>
              <w:adjustRightInd/>
              <w:snapToGrid/>
              <w:spacing w:line="240" w:lineRule="atLeast"/>
              <w:rPr>
                <w:color w:val="auto"/>
              </w:rPr>
            </w:pPr>
          </w:p>
        </w:tc>
        <w:tc>
          <w:tcPr>
            <w:tcW w:w="995" w:type="pct"/>
            <w:tcBorders>
              <w:tl2br w:val="nil"/>
              <w:tr2bl w:val="nil"/>
            </w:tcBorders>
            <w:vAlign w:val="center"/>
          </w:tcPr>
          <w:p>
            <w:pPr>
              <w:ind w:firstLine="0" w:firstLineChars="0"/>
              <w:jc w:val="center"/>
              <w:rPr>
                <w:color w:val="auto"/>
                <w:sz w:val="21"/>
                <w:szCs w:val="21"/>
              </w:rPr>
            </w:pPr>
            <w:r>
              <w:rPr>
                <w:rFonts w:hint="eastAsia"/>
                <w:color w:val="auto"/>
                <w:sz w:val="21"/>
                <w:szCs w:val="21"/>
              </w:rPr>
              <w:t>配料机及皮带输送机</w:t>
            </w:r>
          </w:p>
        </w:tc>
        <w:tc>
          <w:tcPr>
            <w:tcW w:w="1992" w:type="pct"/>
            <w:tcBorders>
              <w:tl2br w:val="nil"/>
              <w:tr2bl w:val="nil"/>
            </w:tcBorders>
            <w:vAlign w:val="center"/>
          </w:tcPr>
          <w:p>
            <w:pPr>
              <w:ind w:firstLine="0" w:firstLineChars="0"/>
              <w:jc w:val="center"/>
              <w:rPr>
                <w:color w:val="auto"/>
                <w:sz w:val="21"/>
                <w:szCs w:val="21"/>
              </w:rPr>
            </w:pPr>
            <w:r>
              <w:rPr>
                <w:rFonts w:hint="eastAsia"/>
                <w:color w:val="auto"/>
                <w:sz w:val="21"/>
                <w:szCs w:val="21"/>
              </w:rPr>
              <w:t>砂石上料及转运过程粉尘</w:t>
            </w:r>
          </w:p>
        </w:tc>
        <w:tc>
          <w:tcPr>
            <w:tcW w:w="1317" w:type="pct"/>
            <w:tcBorders>
              <w:tl2br w:val="nil"/>
              <w:tr2bl w:val="nil"/>
            </w:tcBorders>
            <w:vAlign w:val="center"/>
          </w:tcPr>
          <w:p>
            <w:pPr>
              <w:ind w:firstLine="0" w:firstLineChars="0"/>
              <w:jc w:val="center"/>
              <w:rPr>
                <w:color w:val="auto"/>
                <w:sz w:val="21"/>
                <w:szCs w:val="21"/>
              </w:rPr>
            </w:pPr>
            <w:r>
              <w:rPr>
                <w:rFonts w:hint="eastAsia"/>
                <w:color w:val="auto"/>
                <w:sz w:val="21"/>
                <w:szCs w:val="21"/>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94" w:type="pct"/>
            <w:vMerge w:val="continue"/>
            <w:tcBorders>
              <w:tl2br w:val="nil"/>
              <w:tr2bl w:val="nil"/>
            </w:tcBorders>
            <w:vAlign w:val="center"/>
          </w:tcPr>
          <w:p>
            <w:pPr>
              <w:pStyle w:val="54"/>
              <w:adjustRightInd/>
              <w:snapToGrid/>
              <w:spacing w:line="240" w:lineRule="atLeast"/>
              <w:rPr>
                <w:color w:val="auto"/>
              </w:rPr>
            </w:pPr>
          </w:p>
        </w:tc>
        <w:tc>
          <w:tcPr>
            <w:tcW w:w="995" w:type="pct"/>
            <w:tcBorders>
              <w:tl2br w:val="nil"/>
              <w:tr2bl w:val="nil"/>
            </w:tcBorders>
            <w:vAlign w:val="center"/>
          </w:tcPr>
          <w:p>
            <w:pPr>
              <w:ind w:firstLine="0" w:firstLineChars="0"/>
              <w:jc w:val="center"/>
              <w:rPr>
                <w:color w:val="auto"/>
                <w:sz w:val="21"/>
                <w:szCs w:val="21"/>
              </w:rPr>
            </w:pPr>
            <w:r>
              <w:rPr>
                <w:rFonts w:hint="eastAsia"/>
                <w:color w:val="auto"/>
                <w:sz w:val="21"/>
                <w:szCs w:val="21"/>
              </w:rPr>
              <w:t>搅拌主机</w:t>
            </w:r>
          </w:p>
        </w:tc>
        <w:tc>
          <w:tcPr>
            <w:tcW w:w="1992" w:type="pct"/>
            <w:tcBorders>
              <w:tl2br w:val="nil"/>
              <w:tr2bl w:val="nil"/>
            </w:tcBorders>
            <w:vAlign w:val="center"/>
          </w:tcPr>
          <w:p>
            <w:pPr>
              <w:ind w:firstLine="0" w:firstLineChars="0"/>
              <w:jc w:val="center"/>
              <w:rPr>
                <w:color w:val="auto"/>
                <w:sz w:val="21"/>
                <w:szCs w:val="21"/>
              </w:rPr>
            </w:pPr>
            <w:r>
              <w:rPr>
                <w:rFonts w:hint="eastAsia"/>
                <w:color w:val="auto"/>
                <w:sz w:val="21"/>
                <w:szCs w:val="21"/>
              </w:rPr>
              <w:t>搅拌粉尘</w:t>
            </w:r>
          </w:p>
        </w:tc>
        <w:tc>
          <w:tcPr>
            <w:tcW w:w="1317" w:type="pct"/>
            <w:tcBorders>
              <w:tl2br w:val="nil"/>
              <w:tr2bl w:val="nil"/>
            </w:tcBorders>
            <w:vAlign w:val="center"/>
          </w:tcPr>
          <w:p>
            <w:pPr>
              <w:ind w:firstLine="0" w:firstLineChars="0"/>
              <w:jc w:val="center"/>
              <w:rPr>
                <w:color w:val="auto"/>
                <w:sz w:val="21"/>
                <w:szCs w:val="21"/>
              </w:rPr>
            </w:pPr>
            <w:r>
              <w:rPr>
                <w:rFonts w:hint="eastAsia"/>
                <w:color w:val="auto"/>
                <w:sz w:val="21"/>
                <w:szCs w:val="21"/>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94" w:type="pct"/>
            <w:vMerge w:val="continue"/>
            <w:tcBorders>
              <w:tl2br w:val="nil"/>
              <w:tr2bl w:val="nil"/>
            </w:tcBorders>
            <w:vAlign w:val="center"/>
          </w:tcPr>
          <w:p>
            <w:pPr>
              <w:pStyle w:val="54"/>
              <w:adjustRightInd/>
              <w:snapToGrid/>
              <w:spacing w:line="240" w:lineRule="atLeast"/>
              <w:rPr>
                <w:color w:val="auto"/>
              </w:rPr>
            </w:pPr>
          </w:p>
        </w:tc>
        <w:tc>
          <w:tcPr>
            <w:tcW w:w="995" w:type="pct"/>
            <w:tcBorders>
              <w:tl2br w:val="nil"/>
              <w:tr2bl w:val="nil"/>
            </w:tcBorders>
            <w:vAlign w:val="center"/>
          </w:tcPr>
          <w:p>
            <w:pPr>
              <w:ind w:firstLine="0" w:firstLineChars="0"/>
              <w:jc w:val="center"/>
              <w:rPr>
                <w:color w:val="auto"/>
                <w:sz w:val="21"/>
                <w:szCs w:val="21"/>
              </w:rPr>
            </w:pPr>
            <w:r>
              <w:rPr>
                <w:rFonts w:hint="eastAsia"/>
                <w:color w:val="auto"/>
                <w:sz w:val="21"/>
                <w:szCs w:val="21"/>
              </w:rPr>
              <w:t>筒仓</w:t>
            </w:r>
          </w:p>
        </w:tc>
        <w:tc>
          <w:tcPr>
            <w:tcW w:w="1992" w:type="pct"/>
            <w:tcBorders>
              <w:tl2br w:val="nil"/>
              <w:tr2bl w:val="nil"/>
            </w:tcBorders>
            <w:vAlign w:val="center"/>
          </w:tcPr>
          <w:p>
            <w:pPr>
              <w:ind w:firstLine="0" w:firstLineChars="0"/>
              <w:jc w:val="center"/>
              <w:rPr>
                <w:color w:val="auto"/>
                <w:sz w:val="21"/>
                <w:szCs w:val="21"/>
              </w:rPr>
            </w:pPr>
            <w:r>
              <w:rPr>
                <w:rFonts w:hint="eastAsia"/>
                <w:color w:val="auto"/>
                <w:sz w:val="21"/>
                <w:szCs w:val="21"/>
              </w:rPr>
              <w:t>粉料输送储存</w:t>
            </w:r>
          </w:p>
        </w:tc>
        <w:tc>
          <w:tcPr>
            <w:tcW w:w="1317" w:type="pct"/>
            <w:tcBorders>
              <w:tl2br w:val="nil"/>
              <w:tr2bl w:val="nil"/>
            </w:tcBorders>
            <w:vAlign w:val="center"/>
          </w:tcPr>
          <w:p>
            <w:pPr>
              <w:ind w:firstLine="0" w:firstLineChars="0"/>
              <w:jc w:val="center"/>
              <w:rPr>
                <w:color w:val="auto"/>
                <w:sz w:val="21"/>
                <w:szCs w:val="21"/>
              </w:rPr>
            </w:pPr>
            <w:r>
              <w:rPr>
                <w:rFonts w:hint="eastAsia"/>
                <w:color w:val="auto"/>
                <w:sz w:val="21"/>
                <w:szCs w:val="21"/>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94" w:type="pct"/>
            <w:vMerge w:val="continue"/>
            <w:tcBorders>
              <w:tl2br w:val="nil"/>
              <w:tr2bl w:val="nil"/>
            </w:tcBorders>
            <w:vAlign w:val="center"/>
          </w:tcPr>
          <w:p>
            <w:pPr>
              <w:pStyle w:val="54"/>
              <w:adjustRightInd/>
              <w:snapToGrid/>
              <w:spacing w:line="240" w:lineRule="atLeast"/>
              <w:rPr>
                <w:color w:val="auto"/>
              </w:rPr>
            </w:pPr>
          </w:p>
        </w:tc>
        <w:tc>
          <w:tcPr>
            <w:tcW w:w="995" w:type="pct"/>
            <w:tcBorders>
              <w:tl2br w:val="nil"/>
              <w:tr2bl w:val="nil"/>
            </w:tcBorders>
            <w:vAlign w:val="center"/>
          </w:tcPr>
          <w:p>
            <w:pPr>
              <w:ind w:firstLine="0" w:firstLineChars="0"/>
              <w:jc w:val="center"/>
              <w:rPr>
                <w:color w:val="auto"/>
                <w:sz w:val="21"/>
                <w:szCs w:val="21"/>
              </w:rPr>
            </w:pPr>
            <w:r>
              <w:rPr>
                <w:rFonts w:eastAsiaTheme="minorEastAsia"/>
                <w:color w:val="auto"/>
                <w:sz w:val="21"/>
                <w:szCs w:val="21"/>
              </w:rPr>
              <w:t>骨料加热、热骨料提升、筛分、料仓</w:t>
            </w:r>
          </w:p>
        </w:tc>
        <w:tc>
          <w:tcPr>
            <w:tcW w:w="1992" w:type="pct"/>
            <w:tcBorders>
              <w:tl2br w:val="nil"/>
              <w:tr2bl w:val="nil"/>
            </w:tcBorders>
            <w:vAlign w:val="center"/>
          </w:tcPr>
          <w:p>
            <w:pPr>
              <w:ind w:firstLine="0" w:firstLineChars="0"/>
              <w:jc w:val="center"/>
              <w:rPr>
                <w:color w:val="auto"/>
                <w:sz w:val="21"/>
                <w:szCs w:val="21"/>
              </w:rPr>
            </w:pPr>
            <w:r>
              <w:rPr>
                <w:rFonts w:eastAsiaTheme="minorEastAsia"/>
                <w:color w:val="auto"/>
                <w:sz w:val="21"/>
                <w:szCs w:val="21"/>
              </w:rPr>
              <w:t>骨料加热、热骨料提升、筛分、料仓</w:t>
            </w:r>
          </w:p>
        </w:tc>
        <w:tc>
          <w:tcPr>
            <w:tcW w:w="1317" w:type="pct"/>
            <w:tcBorders>
              <w:tl2br w:val="nil"/>
              <w:tr2bl w:val="nil"/>
            </w:tcBorders>
            <w:vAlign w:val="center"/>
          </w:tcPr>
          <w:p>
            <w:pPr>
              <w:ind w:firstLine="0" w:firstLineChars="0"/>
              <w:jc w:val="center"/>
              <w:rPr>
                <w:color w:val="auto"/>
                <w:sz w:val="21"/>
                <w:szCs w:val="21"/>
              </w:rPr>
            </w:pPr>
            <w:r>
              <w:rPr>
                <w:rFonts w:eastAsiaTheme="minorEastAsia"/>
                <w:color w:val="auto"/>
                <w:sz w:val="21"/>
                <w:szCs w:val="21"/>
              </w:rPr>
              <w:t>颗粒物、SO</w:t>
            </w:r>
            <w:r>
              <w:rPr>
                <w:rFonts w:eastAsiaTheme="minorEastAsia"/>
                <w:color w:val="auto"/>
                <w:sz w:val="21"/>
                <w:szCs w:val="21"/>
                <w:vertAlign w:val="subscript"/>
              </w:rPr>
              <w:t>2</w:t>
            </w:r>
            <w:r>
              <w:rPr>
                <w:rFonts w:eastAsiaTheme="minorEastAsia"/>
                <w:color w:val="auto"/>
                <w:sz w:val="21"/>
                <w:szCs w:val="21"/>
              </w:rPr>
              <w:t>、NO</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94" w:type="pct"/>
            <w:vMerge w:val="continue"/>
            <w:tcBorders>
              <w:tl2br w:val="nil"/>
              <w:tr2bl w:val="nil"/>
            </w:tcBorders>
            <w:vAlign w:val="center"/>
          </w:tcPr>
          <w:p>
            <w:pPr>
              <w:pStyle w:val="54"/>
              <w:adjustRightInd/>
              <w:snapToGrid/>
              <w:spacing w:line="240" w:lineRule="atLeast"/>
              <w:rPr>
                <w:color w:val="auto"/>
              </w:rPr>
            </w:pPr>
          </w:p>
        </w:tc>
        <w:tc>
          <w:tcPr>
            <w:tcW w:w="995" w:type="pct"/>
            <w:tcBorders>
              <w:tl2br w:val="nil"/>
              <w:tr2bl w:val="nil"/>
            </w:tcBorders>
            <w:vAlign w:val="center"/>
          </w:tcPr>
          <w:p>
            <w:pPr>
              <w:ind w:firstLine="0" w:firstLineChars="0"/>
              <w:jc w:val="center"/>
              <w:rPr>
                <w:rFonts w:eastAsiaTheme="minorEastAsia"/>
                <w:color w:val="auto"/>
                <w:sz w:val="21"/>
                <w:szCs w:val="21"/>
              </w:rPr>
            </w:pPr>
            <w:r>
              <w:rPr>
                <w:rFonts w:hint="eastAsia" w:eastAsiaTheme="minorEastAsia"/>
                <w:color w:val="auto"/>
                <w:sz w:val="21"/>
                <w:szCs w:val="21"/>
              </w:rPr>
              <w:t>沥青</w:t>
            </w:r>
            <w:r>
              <w:rPr>
                <w:rFonts w:eastAsiaTheme="minorEastAsia"/>
                <w:color w:val="auto"/>
                <w:sz w:val="21"/>
                <w:szCs w:val="21"/>
              </w:rPr>
              <w:t>拌合机</w:t>
            </w:r>
          </w:p>
        </w:tc>
        <w:tc>
          <w:tcPr>
            <w:tcW w:w="1992" w:type="pct"/>
            <w:tcBorders>
              <w:tl2br w:val="nil"/>
              <w:tr2bl w:val="nil"/>
            </w:tcBorders>
            <w:vAlign w:val="center"/>
          </w:tcPr>
          <w:p>
            <w:pPr>
              <w:ind w:firstLine="0" w:firstLineChars="0"/>
              <w:jc w:val="center"/>
              <w:rPr>
                <w:rFonts w:eastAsiaTheme="minorEastAsia"/>
                <w:color w:val="auto"/>
                <w:sz w:val="21"/>
                <w:szCs w:val="21"/>
              </w:rPr>
            </w:pPr>
            <w:r>
              <w:rPr>
                <w:rFonts w:eastAsiaTheme="minorEastAsia"/>
                <w:color w:val="auto"/>
                <w:sz w:val="21"/>
                <w:szCs w:val="21"/>
              </w:rPr>
              <w:t>拌合机搅拌过程</w:t>
            </w:r>
          </w:p>
        </w:tc>
        <w:tc>
          <w:tcPr>
            <w:tcW w:w="1317" w:type="pct"/>
            <w:tcBorders>
              <w:tl2br w:val="nil"/>
              <w:tr2bl w:val="nil"/>
            </w:tcBorders>
            <w:vAlign w:val="center"/>
          </w:tcPr>
          <w:p>
            <w:pPr>
              <w:ind w:firstLine="0" w:firstLineChars="0"/>
              <w:jc w:val="center"/>
              <w:rPr>
                <w:rFonts w:eastAsiaTheme="minorEastAsia"/>
                <w:color w:val="auto"/>
                <w:sz w:val="21"/>
                <w:szCs w:val="21"/>
              </w:rPr>
            </w:pPr>
            <w:r>
              <w:rPr>
                <w:rFonts w:eastAsiaTheme="minorEastAsia"/>
                <w:color w:val="auto"/>
                <w:sz w:val="21"/>
                <w:szCs w:val="21"/>
              </w:rPr>
              <w:t>沥青烟、苯并[a]芘和颗粒物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94" w:type="pct"/>
            <w:vMerge w:val="continue"/>
            <w:tcBorders>
              <w:tl2br w:val="nil"/>
              <w:tr2bl w:val="nil"/>
            </w:tcBorders>
            <w:vAlign w:val="center"/>
          </w:tcPr>
          <w:p>
            <w:pPr>
              <w:pStyle w:val="54"/>
              <w:adjustRightInd/>
              <w:snapToGrid/>
              <w:spacing w:line="240" w:lineRule="atLeast"/>
              <w:rPr>
                <w:color w:val="auto"/>
              </w:rPr>
            </w:pPr>
          </w:p>
        </w:tc>
        <w:tc>
          <w:tcPr>
            <w:tcW w:w="995" w:type="pct"/>
            <w:tcBorders>
              <w:tl2br w:val="nil"/>
              <w:tr2bl w:val="nil"/>
            </w:tcBorders>
            <w:vAlign w:val="center"/>
          </w:tcPr>
          <w:p>
            <w:pPr>
              <w:ind w:firstLine="0" w:firstLineChars="0"/>
              <w:jc w:val="center"/>
              <w:rPr>
                <w:rFonts w:eastAsiaTheme="minorEastAsia"/>
                <w:color w:val="auto"/>
                <w:sz w:val="21"/>
                <w:szCs w:val="21"/>
              </w:rPr>
            </w:pPr>
            <w:r>
              <w:rPr>
                <w:rFonts w:eastAsiaTheme="minorEastAsia"/>
                <w:color w:val="auto"/>
                <w:sz w:val="21"/>
                <w:szCs w:val="21"/>
              </w:rPr>
              <w:t>沥青储罐</w:t>
            </w:r>
          </w:p>
        </w:tc>
        <w:tc>
          <w:tcPr>
            <w:tcW w:w="1992" w:type="pct"/>
            <w:tcBorders>
              <w:tl2br w:val="nil"/>
              <w:tr2bl w:val="nil"/>
            </w:tcBorders>
            <w:vAlign w:val="center"/>
          </w:tcPr>
          <w:p>
            <w:pPr>
              <w:ind w:firstLine="0" w:firstLineChars="0"/>
              <w:jc w:val="center"/>
              <w:rPr>
                <w:rFonts w:eastAsiaTheme="minorEastAsia"/>
                <w:color w:val="auto"/>
                <w:sz w:val="21"/>
                <w:szCs w:val="21"/>
              </w:rPr>
            </w:pPr>
            <w:r>
              <w:rPr>
                <w:rFonts w:hint="eastAsia" w:eastAsiaTheme="minorEastAsia"/>
                <w:color w:val="auto"/>
                <w:sz w:val="21"/>
                <w:szCs w:val="21"/>
              </w:rPr>
              <w:t>加热</w:t>
            </w:r>
            <w:r>
              <w:rPr>
                <w:rFonts w:eastAsiaTheme="minorEastAsia"/>
                <w:color w:val="auto"/>
                <w:sz w:val="21"/>
                <w:szCs w:val="21"/>
              </w:rPr>
              <w:t>排放</w:t>
            </w:r>
          </w:p>
        </w:tc>
        <w:tc>
          <w:tcPr>
            <w:tcW w:w="1317" w:type="pct"/>
            <w:tcBorders>
              <w:tl2br w:val="nil"/>
              <w:tr2bl w:val="nil"/>
            </w:tcBorders>
            <w:vAlign w:val="center"/>
          </w:tcPr>
          <w:p>
            <w:pPr>
              <w:ind w:firstLine="0" w:firstLineChars="0"/>
              <w:jc w:val="center"/>
              <w:rPr>
                <w:rFonts w:eastAsiaTheme="minorEastAsia"/>
                <w:color w:val="auto"/>
                <w:sz w:val="21"/>
                <w:szCs w:val="21"/>
              </w:rPr>
            </w:pPr>
            <w:r>
              <w:rPr>
                <w:rFonts w:eastAsiaTheme="minorEastAsia"/>
                <w:color w:val="auto"/>
                <w:sz w:val="21"/>
                <w:szCs w:val="21"/>
              </w:rPr>
              <w:t>沥青烟</w:t>
            </w:r>
            <w:r>
              <w:rPr>
                <w:rFonts w:hint="eastAsia" w:eastAsiaTheme="minorEastAsia"/>
                <w:color w:val="auto"/>
                <w:sz w:val="21"/>
                <w:szCs w:val="21"/>
              </w:rPr>
              <w:t>、</w:t>
            </w:r>
            <w:r>
              <w:rPr>
                <w:rFonts w:eastAsiaTheme="minorEastAsia"/>
                <w:color w:val="auto"/>
                <w:sz w:val="21"/>
                <w:szCs w:val="21"/>
              </w:rPr>
              <w:t>苯并[a]芘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94" w:type="pct"/>
            <w:vMerge w:val="continue"/>
            <w:tcBorders>
              <w:tl2br w:val="nil"/>
              <w:tr2bl w:val="nil"/>
            </w:tcBorders>
            <w:vAlign w:val="center"/>
          </w:tcPr>
          <w:p>
            <w:pPr>
              <w:pStyle w:val="54"/>
              <w:adjustRightInd/>
              <w:snapToGrid/>
              <w:spacing w:line="240" w:lineRule="atLeast"/>
              <w:rPr>
                <w:color w:val="auto"/>
              </w:rPr>
            </w:pPr>
          </w:p>
        </w:tc>
        <w:tc>
          <w:tcPr>
            <w:tcW w:w="995" w:type="pct"/>
            <w:tcBorders>
              <w:tl2br w:val="nil"/>
              <w:tr2bl w:val="nil"/>
            </w:tcBorders>
            <w:vAlign w:val="center"/>
          </w:tcPr>
          <w:p>
            <w:pPr>
              <w:ind w:firstLine="0" w:firstLineChars="0"/>
              <w:jc w:val="center"/>
              <w:rPr>
                <w:rFonts w:eastAsiaTheme="minorEastAsia"/>
                <w:color w:val="auto"/>
                <w:sz w:val="21"/>
                <w:szCs w:val="21"/>
              </w:rPr>
            </w:pPr>
            <w:r>
              <w:rPr>
                <w:rFonts w:eastAsiaTheme="minorEastAsia"/>
                <w:color w:val="auto"/>
                <w:sz w:val="21"/>
                <w:szCs w:val="21"/>
              </w:rPr>
              <w:t>导热油炉</w:t>
            </w:r>
          </w:p>
        </w:tc>
        <w:tc>
          <w:tcPr>
            <w:tcW w:w="1992" w:type="pct"/>
            <w:tcBorders>
              <w:tl2br w:val="nil"/>
              <w:tr2bl w:val="nil"/>
            </w:tcBorders>
            <w:vAlign w:val="center"/>
          </w:tcPr>
          <w:p>
            <w:pPr>
              <w:ind w:firstLine="0" w:firstLineChars="0"/>
              <w:jc w:val="center"/>
              <w:rPr>
                <w:rFonts w:eastAsiaTheme="minorEastAsia"/>
                <w:color w:val="auto"/>
                <w:sz w:val="21"/>
                <w:szCs w:val="21"/>
              </w:rPr>
            </w:pPr>
            <w:r>
              <w:rPr>
                <w:rFonts w:hint="eastAsia" w:eastAsiaTheme="minorEastAsia"/>
                <w:color w:val="auto"/>
                <w:sz w:val="21"/>
                <w:szCs w:val="21"/>
              </w:rPr>
              <w:t>柴油燃烧废气</w:t>
            </w:r>
          </w:p>
        </w:tc>
        <w:tc>
          <w:tcPr>
            <w:tcW w:w="1317" w:type="pct"/>
            <w:tcBorders>
              <w:tl2br w:val="nil"/>
              <w:tr2bl w:val="nil"/>
            </w:tcBorders>
            <w:vAlign w:val="center"/>
          </w:tcPr>
          <w:p>
            <w:pPr>
              <w:ind w:firstLine="0" w:firstLineChars="0"/>
              <w:jc w:val="center"/>
              <w:rPr>
                <w:rFonts w:eastAsiaTheme="minorEastAsia"/>
                <w:color w:val="auto"/>
                <w:sz w:val="21"/>
                <w:szCs w:val="21"/>
              </w:rPr>
            </w:pPr>
            <w:r>
              <w:rPr>
                <w:rFonts w:eastAsiaTheme="minorEastAsia"/>
                <w:color w:val="auto"/>
                <w:sz w:val="21"/>
                <w:szCs w:val="21"/>
              </w:rPr>
              <w:t>颗粒物、SO</w:t>
            </w:r>
            <w:r>
              <w:rPr>
                <w:rFonts w:eastAsiaTheme="minorEastAsia"/>
                <w:color w:val="auto"/>
                <w:sz w:val="21"/>
                <w:szCs w:val="21"/>
                <w:vertAlign w:val="subscript"/>
              </w:rPr>
              <w:t>2</w:t>
            </w:r>
            <w:r>
              <w:rPr>
                <w:rFonts w:eastAsiaTheme="minorEastAsia"/>
                <w:color w:val="auto"/>
                <w:sz w:val="21"/>
                <w:szCs w:val="21"/>
              </w:rPr>
              <w:t>、NO</w:t>
            </w:r>
            <w:r>
              <w:rPr>
                <w:rFonts w:eastAsiaTheme="minorEastAsia"/>
                <w:color w:val="auto"/>
                <w:sz w:val="21"/>
                <w:szCs w:val="21"/>
                <w:vertAlign w:val="subscript"/>
              </w:rPr>
              <w:t>x</w:t>
            </w:r>
          </w:p>
        </w:tc>
      </w:tr>
    </w:tbl>
    <w:p>
      <w:pPr>
        <w:pStyle w:val="5"/>
        <w:tabs>
          <w:tab w:val="left" w:pos="3949"/>
        </w:tabs>
        <w:ind w:firstLine="281"/>
        <w:rPr>
          <w:color w:val="auto"/>
        </w:rPr>
      </w:pPr>
      <w:r>
        <w:rPr>
          <w:rFonts w:hint="eastAsia"/>
          <w:color w:val="auto"/>
        </w:rPr>
        <w:t>2.2 主要污染源分析</w:t>
      </w:r>
    </w:p>
    <w:p>
      <w:pPr>
        <w:pStyle w:val="5"/>
        <w:ind w:firstLine="562" w:firstLineChars="200"/>
        <w:rPr>
          <w:color w:val="auto"/>
        </w:rPr>
      </w:pPr>
      <w:r>
        <w:rPr>
          <w:rFonts w:hint="eastAsia"/>
          <w:color w:val="auto"/>
        </w:rPr>
        <w:t>2.2.1导热油炉燃烧天然气产生的烟气（DA001）</w:t>
      </w:r>
    </w:p>
    <w:p>
      <w:pPr>
        <w:pStyle w:val="2"/>
        <w:spacing w:after="0"/>
        <w:ind w:firstLine="480"/>
        <w:rPr>
          <w:color w:val="auto"/>
          <w:sz w:val="24"/>
        </w:rPr>
      </w:pPr>
      <w:r>
        <w:rPr>
          <w:rFonts w:hint="eastAsia"/>
          <w:color w:val="auto"/>
          <w:sz w:val="24"/>
        </w:rPr>
        <w:t>本项目配备一台导热油炉，为沥青储罐加热、保温提供热源，导热油炉的燃料为柴油，消耗量约为30t/a，燃烧过程中产生于一定量的燃烧废气，污染物主要为SO</w:t>
      </w:r>
      <w:r>
        <w:rPr>
          <w:rFonts w:hint="eastAsia"/>
          <w:color w:val="auto"/>
          <w:sz w:val="24"/>
          <w:vertAlign w:val="subscript"/>
        </w:rPr>
        <w:t>2</w:t>
      </w:r>
      <w:r>
        <w:rPr>
          <w:rFonts w:hint="eastAsia"/>
          <w:color w:val="auto"/>
          <w:sz w:val="24"/>
        </w:rPr>
        <w:t>、NOx、颗粒物，废气通过引风机引入高度15m的排气筒排放。SO</w:t>
      </w:r>
      <w:r>
        <w:rPr>
          <w:rFonts w:hint="eastAsia"/>
          <w:color w:val="auto"/>
          <w:sz w:val="24"/>
          <w:vertAlign w:val="subscript"/>
        </w:rPr>
        <w:t>2</w:t>
      </w:r>
      <w:r>
        <w:rPr>
          <w:rFonts w:hint="eastAsia"/>
          <w:color w:val="auto"/>
          <w:sz w:val="24"/>
        </w:rPr>
        <w:t>、NO</w:t>
      </w:r>
      <w:r>
        <w:rPr>
          <w:rFonts w:hint="eastAsia"/>
          <w:color w:val="auto"/>
          <w:sz w:val="24"/>
          <w:vertAlign w:val="subscript"/>
        </w:rPr>
        <w:t>x</w:t>
      </w:r>
      <w:r>
        <w:rPr>
          <w:rFonts w:hint="eastAsia"/>
          <w:color w:val="auto"/>
          <w:sz w:val="24"/>
        </w:rPr>
        <w:t>产生系数参考《排放源统计调查产排污核算方法和系数手册》中(2021年6月11日发布)中的4430 锅炉产排污量核算系数手册中产污系数，具体系数详见下表2-1。</w:t>
      </w:r>
    </w:p>
    <w:p>
      <w:pPr>
        <w:ind w:firstLine="482"/>
        <w:jc w:val="center"/>
        <w:rPr>
          <w:b/>
          <w:bCs/>
          <w:color w:val="auto"/>
        </w:rPr>
      </w:pPr>
      <w:r>
        <w:rPr>
          <w:rFonts w:hint="eastAsia"/>
          <w:b/>
          <w:bCs/>
          <w:color w:val="auto"/>
        </w:rPr>
        <w:t>表2-1  燃油废气产生系数</w:t>
      </w:r>
    </w:p>
    <w:tbl>
      <w:tblPr>
        <w:tblStyle w:val="32"/>
        <w:tblW w:w="49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4"/>
        <w:gridCol w:w="890"/>
        <w:gridCol w:w="1261"/>
        <w:gridCol w:w="953"/>
        <w:gridCol w:w="1251"/>
        <w:gridCol w:w="1145"/>
        <w:gridCol w:w="1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1" w:type="pct"/>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r>
              <w:rPr>
                <w:rFonts w:ascii="Times New Roman" w:hAnsi="Times New Roman"/>
                <w:color w:val="auto"/>
                <w:sz w:val="21"/>
              </w:rPr>
              <w:t>污染物指标</w:t>
            </w:r>
          </w:p>
        </w:tc>
        <w:tc>
          <w:tcPr>
            <w:tcW w:w="523" w:type="pct"/>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r>
              <w:rPr>
                <w:rFonts w:ascii="Times New Roman" w:hAnsi="Times New Roman"/>
                <w:color w:val="auto"/>
                <w:sz w:val="21"/>
              </w:rPr>
              <w:t>原料名称</w:t>
            </w:r>
          </w:p>
        </w:tc>
        <w:tc>
          <w:tcPr>
            <w:tcW w:w="741" w:type="pct"/>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r>
              <w:rPr>
                <w:rFonts w:ascii="Times New Roman" w:hAnsi="Times New Roman"/>
                <w:color w:val="auto"/>
                <w:sz w:val="21"/>
              </w:rPr>
              <w:t>单位</w:t>
            </w:r>
          </w:p>
        </w:tc>
        <w:tc>
          <w:tcPr>
            <w:tcW w:w="560" w:type="pct"/>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r>
              <w:rPr>
                <w:rFonts w:ascii="Times New Roman" w:hAnsi="Times New Roman"/>
                <w:color w:val="auto"/>
                <w:sz w:val="21"/>
              </w:rPr>
              <w:t>产污系数</w:t>
            </w:r>
          </w:p>
        </w:tc>
        <w:tc>
          <w:tcPr>
            <w:tcW w:w="735" w:type="pct"/>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r>
              <w:rPr>
                <w:rFonts w:ascii="Times New Roman" w:hAnsi="Times New Roman"/>
                <w:color w:val="auto"/>
                <w:sz w:val="21"/>
              </w:rPr>
              <w:t>末端治理技术名称</w:t>
            </w:r>
          </w:p>
        </w:tc>
        <w:tc>
          <w:tcPr>
            <w:tcW w:w="673" w:type="pct"/>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r>
              <w:rPr>
                <w:rFonts w:ascii="Times New Roman" w:hAnsi="Times New Roman"/>
                <w:color w:val="auto"/>
                <w:sz w:val="21"/>
              </w:rPr>
              <w:t>排污系数</w:t>
            </w:r>
          </w:p>
        </w:tc>
        <w:tc>
          <w:tcPr>
            <w:tcW w:w="1104" w:type="pct"/>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r>
              <w:rPr>
                <w:rFonts w:ascii="Times New Roman" w:hAnsi="Times New Roman"/>
                <w:color w:val="auto"/>
                <w:sz w:val="21"/>
              </w:rPr>
              <w:t>依据来源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661" w:type="pct"/>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r>
              <w:rPr>
                <w:rFonts w:ascii="Times New Roman" w:hAnsi="Times New Roman"/>
                <w:color w:val="auto"/>
                <w:sz w:val="21"/>
              </w:rPr>
              <w:t>SO</w:t>
            </w:r>
            <w:r>
              <w:rPr>
                <w:rFonts w:ascii="Times New Roman" w:hAnsi="Times New Roman"/>
                <w:color w:val="auto"/>
                <w:sz w:val="21"/>
                <w:vertAlign w:val="subscript"/>
              </w:rPr>
              <w:t>2</w:t>
            </w:r>
          </w:p>
        </w:tc>
        <w:tc>
          <w:tcPr>
            <w:tcW w:w="523" w:type="pct"/>
            <w:vMerge w:val="restart"/>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r>
              <w:rPr>
                <w:rFonts w:hint="eastAsia" w:ascii="Times New Roman" w:hAnsi="Times New Roman"/>
                <w:color w:val="auto"/>
                <w:sz w:val="21"/>
              </w:rPr>
              <w:t>柴油</w:t>
            </w:r>
          </w:p>
        </w:tc>
        <w:tc>
          <w:tcPr>
            <w:tcW w:w="741" w:type="pct"/>
            <w:tcBorders>
              <w:tl2br w:val="nil"/>
              <w:tr2bl w:val="nil"/>
            </w:tcBorders>
            <w:vAlign w:val="center"/>
          </w:tcPr>
          <w:p>
            <w:pPr>
              <w:adjustRightInd w:val="0"/>
              <w:snapToGrid w:val="0"/>
              <w:ind w:firstLine="0" w:firstLineChars="0"/>
              <w:jc w:val="center"/>
              <w:outlineLvl w:val="0"/>
              <w:rPr>
                <w:color w:val="auto"/>
                <w:sz w:val="21"/>
                <w:szCs w:val="21"/>
              </w:rPr>
            </w:pPr>
            <w:r>
              <w:rPr>
                <w:color w:val="auto"/>
                <w:sz w:val="21"/>
                <w:szCs w:val="21"/>
              </w:rPr>
              <w:t>kg/</w:t>
            </w:r>
            <w:r>
              <w:rPr>
                <w:rFonts w:hint="eastAsia"/>
                <w:color w:val="auto"/>
                <w:sz w:val="21"/>
                <w:szCs w:val="21"/>
              </w:rPr>
              <w:t>t</w:t>
            </w:r>
            <w:r>
              <w:rPr>
                <w:color w:val="auto"/>
                <w:sz w:val="21"/>
                <w:szCs w:val="21"/>
              </w:rPr>
              <w:t>-燃料</w:t>
            </w:r>
          </w:p>
        </w:tc>
        <w:tc>
          <w:tcPr>
            <w:tcW w:w="560" w:type="pct"/>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r>
              <w:rPr>
                <w:rFonts w:hint="eastAsia" w:ascii="Times New Roman" w:hAnsi="Times New Roman"/>
                <w:color w:val="auto"/>
                <w:sz w:val="21"/>
              </w:rPr>
              <w:t>19</w:t>
            </w:r>
            <w:r>
              <w:rPr>
                <w:rFonts w:ascii="Times New Roman" w:hAnsi="Times New Roman"/>
                <w:color w:val="auto"/>
                <w:sz w:val="21"/>
              </w:rPr>
              <w:t>S</w:t>
            </w:r>
          </w:p>
        </w:tc>
        <w:tc>
          <w:tcPr>
            <w:tcW w:w="735" w:type="pct"/>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r>
              <w:rPr>
                <w:rFonts w:ascii="Times New Roman" w:hAnsi="Times New Roman"/>
                <w:color w:val="auto"/>
                <w:sz w:val="21"/>
              </w:rPr>
              <w:t>直排</w:t>
            </w:r>
          </w:p>
        </w:tc>
        <w:tc>
          <w:tcPr>
            <w:tcW w:w="673" w:type="pct"/>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r>
              <w:rPr>
                <w:rFonts w:hint="eastAsia" w:ascii="Times New Roman" w:hAnsi="Times New Roman"/>
                <w:color w:val="auto"/>
                <w:sz w:val="21"/>
              </w:rPr>
              <w:t>19</w:t>
            </w:r>
            <w:r>
              <w:rPr>
                <w:rFonts w:ascii="Times New Roman" w:hAnsi="Times New Roman"/>
                <w:color w:val="auto"/>
                <w:sz w:val="21"/>
              </w:rPr>
              <w:t>S</w:t>
            </w:r>
          </w:p>
        </w:tc>
        <w:tc>
          <w:tcPr>
            <w:tcW w:w="1104" w:type="pct"/>
            <w:vMerge w:val="restart"/>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r>
              <w:rPr>
                <w:rFonts w:ascii="Times New Roman" w:hAnsi="Times New Roman"/>
                <w:color w:val="auto"/>
                <w:sz w:val="21"/>
              </w:rPr>
              <w:t>《排放源统计调查产排污核算方法和系数手册》（2021年6月）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1" w:type="pct"/>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r>
              <w:rPr>
                <w:rFonts w:ascii="Times New Roman" w:hAnsi="Times New Roman"/>
                <w:color w:val="auto"/>
                <w:sz w:val="21"/>
              </w:rPr>
              <w:t>NO</w:t>
            </w:r>
            <w:r>
              <w:rPr>
                <w:rFonts w:ascii="Times New Roman" w:hAnsi="Times New Roman"/>
                <w:color w:val="auto"/>
                <w:sz w:val="21"/>
                <w:vertAlign w:val="subscript"/>
              </w:rPr>
              <w:t>x</w:t>
            </w:r>
          </w:p>
        </w:tc>
        <w:tc>
          <w:tcPr>
            <w:tcW w:w="523" w:type="pct"/>
            <w:vMerge w:val="continue"/>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p>
        </w:tc>
        <w:tc>
          <w:tcPr>
            <w:tcW w:w="741" w:type="pct"/>
            <w:tcBorders>
              <w:tl2br w:val="nil"/>
              <w:tr2bl w:val="nil"/>
            </w:tcBorders>
            <w:vAlign w:val="center"/>
          </w:tcPr>
          <w:p>
            <w:pPr>
              <w:adjustRightInd w:val="0"/>
              <w:snapToGrid w:val="0"/>
              <w:ind w:firstLine="0" w:firstLineChars="0"/>
              <w:jc w:val="center"/>
              <w:outlineLvl w:val="0"/>
              <w:rPr>
                <w:color w:val="auto"/>
                <w:sz w:val="21"/>
                <w:szCs w:val="21"/>
              </w:rPr>
            </w:pPr>
            <w:r>
              <w:rPr>
                <w:color w:val="auto"/>
                <w:sz w:val="21"/>
                <w:szCs w:val="21"/>
              </w:rPr>
              <w:t>kg/</w:t>
            </w:r>
            <w:r>
              <w:rPr>
                <w:rFonts w:hint="eastAsia"/>
                <w:color w:val="auto"/>
                <w:sz w:val="21"/>
                <w:szCs w:val="21"/>
              </w:rPr>
              <w:t>t</w:t>
            </w:r>
            <w:r>
              <w:rPr>
                <w:color w:val="auto"/>
                <w:sz w:val="21"/>
                <w:szCs w:val="21"/>
              </w:rPr>
              <w:t>-燃料</w:t>
            </w:r>
          </w:p>
        </w:tc>
        <w:tc>
          <w:tcPr>
            <w:tcW w:w="560" w:type="pct"/>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r>
              <w:rPr>
                <w:rFonts w:hint="eastAsia" w:ascii="Times New Roman" w:hAnsi="Times New Roman"/>
                <w:color w:val="auto"/>
                <w:sz w:val="21"/>
              </w:rPr>
              <w:t>3.03</w:t>
            </w:r>
          </w:p>
        </w:tc>
        <w:tc>
          <w:tcPr>
            <w:tcW w:w="735" w:type="pct"/>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r>
              <w:rPr>
                <w:rFonts w:ascii="Times New Roman" w:hAnsi="Times New Roman"/>
                <w:color w:val="auto"/>
                <w:sz w:val="21"/>
              </w:rPr>
              <w:t>直排</w:t>
            </w:r>
          </w:p>
        </w:tc>
        <w:tc>
          <w:tcPr>
            <w:tcW w:w="673" w:type="pct"/>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r>
              <w:rPr>
                <w:rFonts w:hint="eastAsia" w:ascii="Times New Roman" w:hAnsi="Times New Roman"/>
                <w:color w:val="auto"/>
                <w:sz w:val="21"/>
              </w:rPr>
              <w:t>3.03</w:t>
            </w:r>
          </w:p>
        </w:tc>
        <w:tc>
          <w:tcPr>
            <w:tcW w:w="1104" w:type="pct"/>
            <w:vMerge w:val="continue"/>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1" w:type="pct"/>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r>
              <w:rPr>
                <w:rFonts w:ascii="Times New Roman" w:hAnsi="Times New Roman"/>
                <w:color w:val="auto"/>
                <w:sz w:val="21"/>
              </w:rPr>
              <w:t>颗粒物</w:t>
            </w:r>
          </w:p>
        </w:tc>
        <w:tc>
          <w:tcPr>
            <w:tcW w:w="523" w:type="pct"/>
            <w:vMerge w:val="continue"/>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p>
        </w:tc>
        <w:tc>
          <w:tcPr>
            <w:tcW w:w="741" w:type="pct"/>
            <w:tcBorders>
              <w:tl2br w:val="nil"/>
              <w:tr2bl w:val="nil"/>
            </w:tcBorders>
            <w:vAlign w:val="center"/>
          </w:tcPr>
          <w:p>
            <w:pPr>
              <w:adjustRightInd w:val="0"/>
              <w:snapToGrid w:val="0"/>
              <w:ind w:firstLine="0" w:firstLineChars="0"/>
              <w:jc w:val="center"/>
              <w:outlineLvl w:val="0"/>
              <w:rPr>
                <w:color w:val="auto"/>
                <w:sz w:val="21"/>
                <w:szCs w:val="21"/>
              </w:rPr>
            </w:pPr>
            <w:r>
              <w:rPr>
                <w:color w:val="auto"/>
                <w:sz w:val="21"/>
                <w:szCs w:val="21"/>
              </w:rPr>
              <w:t>kg/</w:t>
            </w:r>
            <w:r>
              <w:rPr>
                <w:rFonts w:hint="eastAsia"/>
                <w:color w:val="auto"/>
                <w:sz w:val="21"/>
                <w:szCs w:val="21"/>
              </w:rPr>
              <w:t>t</w:t>
            </w:r>
            <w:r>
              <w:rPr>
                <w:color w:val="auto"/>
                <w:sz w:val="21"/>
                <w:szCs w:val="21"/>
              </w:rPr>
              <w:t>-燃料</w:t>
            </w:r>
          </w:p>
        </w:tc>
        <w:tc>
          <w:tcPr>
            <w:tcW w:w="560" w:type="pct"/>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r>
              <w:rPr>
                <w:rFonts w:hint="eastAsia" w:ascii="Times New Roman" w:hAnsi="Times New Roman"/>
                <w:color w:val="auto"/>
                <w:sz w:val="21"/>
              </w:rPr>
              <w:t>0.26</w:t>
            </w:r>
          </w:p>
        </w:tc>
        <w:tc>
          <w:tcPr>
            <w:tcW w:w="735" w:type="pct"/>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r>
              <w:rPr>
                <w:rFonts w:ascii="Times New Roman" w:hAnsi="Times New Roman"/>
                <w:color w:val="auto"/>
                <w:sz w:val="21"/>
              </w:rPr>
              <w:t>直排</w:t>
            </w:r>
          </w:p>
        </w:tc>
        <w:tc>
          <w:tcPr>
            <w:tcW w:w="673" w:type="pct"/>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r>
              <w:rPr>
                <w:rFonts w:hint="eastAsia" w:ascii="Times New Roman" w:hAnsi="Times New Roman"/>
                <w:color w:val="auto"/>
                <w:sz w:val="21"/>
              </w:rPr>
              <w:t>0.26</w:t>
            </w:r>
          </w:p>
        </w:tc>
        <w:tc>
          <w:tcPr>
            <w:tcW w:w="1104" w:type="pct"/>
            <w:vMerge w:val="continue"/>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p>
        </w:tc>
      </w:tr>
    </w:tbl>
    <w:p>
      <w:pPr>
        <w:ind w:firstLine="482"/>
        <w:jc w:val="center"/>
        <w:rPr>
          <w:b/>
          <w:bCs/>
          <w:color w:val="auto"/>
        </w:rPr>
      </w:pPr>
    </w:p>
    <w:p>
      <w:pPr>
        <w:ind w:firstLine="482"/>
        <w:jc w:val="center"/>
        <w:rPr>
          <w:b/>
          <w:bCs/>
          <w:color w:val="auto"/>
        </w:rPr>
      </w:pPr>
      <w:r>
        <w:rPr>
          <w:b/>
          <w:bCs/>
          <w:color w:val="auto"/>
        </w:rPr>
        <w:t>表</w:t>
      </w:r>
      <w:r>
        <w:rPr>
          <w:rFonts w:hint="eastAsia"/>
          <w:b/>
          <w:bCs/>
          <w:color w:val="auto"/>
        </w:rPr>
        <w:t>2-2</w:t>
      </w:r>
      <w:r>
        <w:rPr>
          <w:b/>
          <w:bCs/>
          <w:color w:val="auto"/>
        </w:rPr>
        <w:t>锅炉废气排放一览表</w:t>
      </w:r>
    </w:p>
    <w:tbl>
      <w:tblPr>
        <w:tblStyle w:val="31"/>
        <w:tblW w:w="4999" w:type="pct"/>
        <w:tblInd w:w="0" w:type="dxa"/>
        <w:tblLayout w:type="autofit"/>
        <w:tblCellMar>
          <w:top w:w="0" w:type="dxa"/>
          <w:left w:w="108" w:type="dxa"/>
          <w:bottom w:w="0" w:type="dxa"/>
          <w:right w:w="108" w:type="dxa"/>
        </w:tblCellMar>
      </w:tblPr>
      <w:tblGrid>
        <w:gridCol w:w="1700"/>
        <w:gridCol w:w="1703"/>
        <w:gridCol w:w="1703"/>
        <w:gridCol w:w="1703"/>
        <w:gridCol w:w="1711"/>
      </w:tblGrid>
      <w:tr>
        <w:tblPrEx>
          <w:tblCellMar>
            <w:top w:w="0" w:type="dxa"/>
            <w:left w:w="108" w:type="dxa"/>
            <w:bottom w:w="0" w:type="dxa"/>
            <w:right w:w="108" w:type="dxa"/>
          </w:tblCellMar>
        </w:tblPrEx>
        <w:trPr>
          <w:trHeight w:val="473" w:hRule="atLeast"/>
        </w:trPr>
        <w:tc>
          <w:tcPr>
            <w:tcW w:w="998" w:type="pct"/>
            <w:tcBorders>
              <w:top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污染因子</w:t>
            </w:r>
          </w:p>
        </w:tc>
        <w:tc>
          <w:tcPr>
            <w:tcW w:w="999" w:type="pct"/>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废气</w:t>
            </w:r>
          </w:p>
        </w:tc>
        <w:tc>
          <w:tcPr>
            <w:tcW w:w="999" w:type="pct"/>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二氧化硫</w:t>
            </w:r>
          </w:p>
        </w:tc>
        <w:tc>
          <w:tcPr>
            <w:tcW w:w="999" w:type="pct"/>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氮氧化物</w:t>
            </w:r>
          </w:p>
        </w:tc>
        <w:tc>
          <w:tcPr>
            <w:tcW w:w="1003" w:type="pct"/>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烟尘</w:t>
            </w:r>
          </w:p>
        </w:tc>
      </w:tr>
      <w:tr>
        <w:tblPrEx>
          <w:tblCellMar>
            <w:top w:w="0" w:type="dxa"/>
            <w:left w:w="108" w:type="dxa"/>
            <w:bottom w:w="0" w:type="dxa"/>
            <w:right w:w="108" w:type="dxa"/>
          </w:tblCellMar>
        </w:tblPrEx>
        <w:trPr>
          <w:trHeight w:val="696" w:hRule="atLeast"/>
        </w:trPr>
        <w:tc>
          <w:tcPr>
            <w:tcW w:w="998" w:type="pct"/>
            <w:tcBorders>
              <w:top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排放系数</w:t>
            </w:r>
          </w:p>
        </w:tc>
        <w:tc>
          <w:tcPr>
            <w:tcW w:w="999" w:type="pct"/>
            <w:tcBorders>
              <w:top w:val="single" w:color="000000" w:sz="4" w:space="0"/>
              <w:left w:val="single" w:color="000000" w:sz="4" w:space="0"/>
              <w:bottom w:val="single" w:color="000000" w:sz="4" w:space="0"/>
            </w:tcBorders>
            <w:vAlign w:val="center"/>
          </w:tcPr>
          <w:p>
            <w:pPr>
              <w:spacing w:line="240" w:lineRule="auto"/>
              <w:ind w:firstLine="0" w:firstLineChars="0"/>
              <w:jc w:val="center"/>
              <w:rPr>
                <w:color w:val="auto"/>
              </w:rPr>
            </w:pPr>
            <w:r>
              <w:rPr>
                <w:rFonts w:hint="eastAsia"/>
                <w:color w:val="auto"/>
                <w:sz w:val="21"/>
                <w:szCs w:val="21"/>
              </w:rPr>
              <w:t>1000m</w:t>
            </w:r>
            <w:r>
              <w:rPr>
                <w:rFonts w:hint="eastAsia"/>
                <w:color w:val="auto"/>
                <w:sz w:val="21"/>
                <w:szCs w:val="21"/>
                <w:vertAlign w:val="superscript"/>
              </w:rPr>
              <w:t>3</w:t>
            </w:r>
            <w:r>
              <w:rPr>
                <w:rFonts w:hint="eastAsia"/>
                <w:color w:val="auto"/>
                <w:sz w:val="21"/>
                <w:szCs w:val="21"/>
              </w:rPr>
              <w:t>/h</w:t>
            </w:r>
          </w:p>
        </w:tc>
        <w:tc>
          <w:tcPr>
            <w:tcW w:w="999" w:type="pct"/>
            <w:tcBorders>
              <w:top w:val="single" w:color="000000" w:sz="4" w:space="0"/>
              <w:left w:val="single" w:color="000000" w:sz="4" w:space="0"/>
              <w:bottom w:val="single" w:color="000000" w:sz="4" w:space="0"/>
            </w:tcBorders>
            <w:vAlign w:val="center"/>
          </w:tcPr>
          <w:p>
            <w:pPr>
              <w:spacing w:line="240" w:lineRule="auto"/>
              <w:ind w:firstLine="0" w:firstLineChars="0"/>
              <w:jc w:val="center"/>
              <w:rPr>
                <w:color w:val="auto"/>
                <w:sz w:val="21"/>
                <w:szCs w:val="21"/>
              </w:rPr>
            </w:pPr>
            <w:r>
              <w:rPr>
                <w:rFonts w:hint="eastAsia"/>
                <w:color w:val="auto"/>
                <w:sz w:val="21"/>
                <w:szCs w:val="21"/>
              </w:rPr>
              <w:t>19Skg/t</w:t>
            </w:r>
            <w:r>
              <w:rPr>
                <w:color w:val="auto"/>
                <w:sz w:val="21"/>
                <w:szCs w:val="21"/>
              </w:rPr>
              <w:t>-燃料</w:t>
            </w:r>
          </w:p>
        </w:tc>
        <w:tc>
          <w:tcPr>
            <w:tcW w:w="999" w:type="pct"/>
            <w:tcBorders>
              <w:top w:val="single" w:color="000000" w:sz="4" w:space="0"/>
              <w:left w:val="single" w:color="000000" w:sz="4" w:space="0"/>
              <w:bottom w:val="single" w:color="000000" w:sz="4" w:space="0"/>
            </w:tcBorders>
            <w:vAlign w:val="center"/>
          </w:tcPr>
          <w:p>
            <w:pPr>
              <w:spacing w:line="240" w:lineRule="auto"/>
              <w:ind w:firstLine="0" w:firstLineChars="0"/>
              <w:jc w:val="center"/>
              <w:rPr>
                <w:color w:val="auto"/>
                <w:sz w:val="21"/>
                <w:szCs w:val="21"/>
              </w:rPr>
            </w:pPr>
            <w:r>
              <w:rPr>
                <w:rFonts w:hint="eastAsia"/>
                <w:color w:val="auto"/>
                <w:sz w:val="21"/>
                <w:szCs w:val="21"/>
              </w:rPr>
              <w:t>3.03kg/t</w:t>
            </w:r>
            <w:r>
              <w:rPr>
                <w:color w:val="auto"/>
                <w:sz w:val="21"/>
                <w:szCs w:val="21"/>
              </w:rPr>
              <w:t>-燃料</w:t>
            </w:r>
          </w:p>
        </w:tc>
        <w:tc>
          <w:tcPr>
            <w:tcW w:w="1003" w:type="pct"/>
            <w:tcBorders>
              <w:top w:val="single" w:color="000000" w:sz="4" w:space="0"/>
              <w:left w:val="single" w:color="000000" w:sz="4" w:space="0"/>
              <w:bottom w:val="single" w:color="000000" w:sz="4" w:space="0"/>
            </w:tcBorders>
            <w:vAlign w:val="center"/>
          </w:tcPr>
          <w:p>
            <w:pPr>
              <w:spacing w:line="240" w:lineRule="auto"/>
              <w:ind w:firstLine="0" w:firstLineChars="0"/>
              <w:jc w:val="center"/>
              <w:rPr>
                <w:color w:val="auto"/>
                <w:sz w:val="21"/>
                <w:szCs w:val="21"/>
              </w:rPr>
            </w:pPr>
            <w:r>
              <w:rPr>
                <w:rFonts w:hint="eastAsia"/>
                <w:color w:val="auto"/>
                <w:sz w:val="21"/>
                <w:szCs w:val="21"/>
              </w:rPr>
              <w:t>0.26kg/t</w:t>
            </w:r>
            <w:r>
              <w:rPr>
                <w:color w:val="auto"/>
                <w:sz w:val="21"/>
                <w:szCs w:val="21"/>
              </w:rPr>
              <w:t>-燃料</w:t>
            </w:r>
          </w:p>
        </w:tc>
      </w:tr>
      <w:tr>
        <w:tblPrEx>
          <w:tblCellMar>
            <w:top w:w="0" w:type="dxa"/>
            <w:left w:w="108" w:type="dxa"/>
            <w:bottom w:w="0" w:type="dxa"/>
            <w:right w:w="108" w:type="dxa"/>
          </w:tblCellMar>
        </w:tblPrEx>
        <w:tc>
          <w:tcPr>
            <w:tcW w:w="998" w:type="pct"/>
            <w:tcBorders>
              <w:top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锅炉耗油量</w:t>
            </w:r>
          </w:p>
        </w:tc>
        <w:tc>
          <w:tcPr>
            <w:tcW w:w="4001" w:type="pct"/>
            <w:gridSpan w:val="4"/>
            <w:tcBorders>
              <w:top w:val="single" w:color="000000" w:sz="4" w:space="0"/>
              <w:left w:val="single" w:color="000000" w:sz="4" w:space="0"/>
              <w:bottom w:val="single" w:color="000000" w:sz="4" w:space="0"/>
            </w:tcBorders>
            <w:vAlign w:val="center"/>
          </w:tcPr>
          <w:p>
            <w:pPr>
              <w:ind w:firstLine="420"/>
              <w:jc w:val="center"/>
              <w:rPr>
                <w:color w:val="auto"/>
                <w:sz w:val="21"/>
                <w:szCs w:val="21"/>
              </w:rPr>
            </w:pPr>
            <w:r>
              <w:rPr>
                <w:rFonts w:hint="eastAsia"/>
                <w:color w:val="auto"/>
                <w:sz w:val="21"/>
                <w:szCs w:val="21"/>
              </w:rPr>
              <w:t>30t/a</w:t>
            </w:r>
          </w:p>
        </w:tc>
      </w:tr>
      <w:tr>
        <w:tblPrEx>
          <w:tblCellMar>
            <w:top w:w="0" w:type="dxa"/>
            <w:left w:w="108" w:type="dxa"/>
            <w:bottom w:w="0" w:type="dxa"/>
            <w:right w:w="108" w:type="dxa"/>
          </w:tblCellMar>
        </w:tblPrEx>
        <w:trPr>
          <w:trHeight w:val="548" w:hRule="atLeast"/>
        </w:trPr>
        <w:tc>
          <w:tcPr>
            <w:tcW w:w="998" w:type="pct"/>
            <w:tcBorders>
              <w:top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产生量放量</w:t>
            </w:r>
          </w:p>
        </w:tc>
        <w:tc>
          <w:tcPr>
            <w:tcW w:w="999" w:type="pct"/>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288万Nm³</w:t>
            </w:r>
          </w:p>
        </w:tc>
        <w:tc>
          <w:tcPr>
            <w:tcW w:w="999" w:type="pct"/>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0.114t/a</w:t>
            </w:r>
          </w:p>
        </w:tc>
        <w:tc>
          <w:tcPr>
            <w:tcW w:w="999" w:type="pct"/>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0.091t/a</w:t>
            </w:r>
          </w:p>
        </w:tc>
        <w:tc>
          <w:tcPr>
            <w:tcW w:w="1003" w:type="pct"/>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0.008t/a</w:t>
            </w:r>
          </w:p>
        </w:tc>
      </w:tr>
      <w:tr>
        <w:tblPrEx>
          <w:tblCellMar>
            <w:top w:w="0" w:type="dxa"/>
            <w:left w:w="108" w:type="dxa"/>
            <w:bottom w:w="0" w:type="dxa"/>
            <w:right w:w="108" w:type="dxa"/>
          </w:tblCellMar>
        </w:tblPrEx>
        <w:trPr>
          <w:trHeight w:val="548" w:hRule="atLeast"/>
        </w:trPr>
        <w:tc>
          <w:tcPr>
            <w:tcW w:w="998" w:type="pct"/>
            <w:tcBorders>
              <w:top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处理方式</w:t>
            </w:r>
          </w:p>
        </w:tc>
        <w:tc>
          <w:tcPr>
            <w:tcW w:w="4001" w:type="pct"/>
            <w:gridSpan w:val="4"/>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废气通过高度15m（烟囱应高于周围半径200m距离内最高建筑3m，项目周围半径200m范围内最高建筑超过8m)，直径0.5m的排气筒排放</w:t>
            </w:r>
          </w:p>
        </w:tc>
      </w:tr>
      <w:tr>
        <w:tblPrEx>
          <w:tblCellMar>
            <w:top w:w="0" w:type="dxa"/>
            <w:left w:w="108" w:type="dxa"/>
            <w:bottom w:w="0" w:type="dxa"/>
            <w:right w:w="108" w:type="dxa"/>
          </w:tblCellMar>
        </w:tblPrEx>
        <w:trPr>
          <w:trHeight w:val="548" w:hRule="atLeast"/>
        </w:trPr>
        <w:tc>
          <w:tcPr>
            <w:tcW w:w="998" w:type="pct"/>
            <w:tcBorders>
              <w:top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排气筒编号</w:t>
            </w:r>
          </w:p>
        </w:tc>
        <w:tc>
          <w:tcPr>
            <w:tcW w:w="4001" w:type="pct"/>
            <w:gridSpan w:val="4"/>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DA001</w:t>
            </w:r>
          </w:p>
        </w:tc>
      </w:tr>
      <w:tr>
        <w:tblPrEx>
          <w:tblCellMar>
            <w:top w:w="0" w:type="dxa"/>
            <w:left w:w="108" w:type="dxa"/>
            <w:bottom w:w="0" w:type="dxa"/>
            <w:right w:w="108" w:type="dxa"/>
          </w:tblCellMar>
        </w:tblPrEx>
        <w:trPr>
          <w:trHeight w:val="548" w:hRule="atLeast"/>
        </w:trPr>
        <w:tc>
          <w:tcPr>
            <w:tcW w:w="998" w:type="pct"/>
            <w:tcBorders>
              <w:top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排放量</w:t>
            </w:r>
          </w:p>
        </w:tc>
        <w:tc>
          <w:tcPr>
            <w:tcW w:w="999" w:type="pct"/>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288万Nm³</w:t>
            </w:r>
          </w:p>
        </w:tc>
        <w:tc>
          <w:tcPr>
            <w:tcW w:w="999" w:type="pct"/>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0.114t/a</w:t>
            </w:r>
          </w:p>
        </w:tc>
        <w:tc>
          <w:tcPr>
            <w:tcW w:w="999" w:type="pct"/>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0.091t/a</w:t>
            </w:r>
          </w:p>
        </w:tc>
        <w:tc>
          <w:tcPr>
            <w:tcW w:w="1003" w:type="pct"/>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0.008t/a</w:t>
            </w:r>
          </w:p>
        </w:tc>
      </w:tr>
      <w:tr>
        <w:tblPrEx>
          <w:tblCellMar>
            <w:top w:w="0" w:type="dxa"/>
            <w:left w:w="108" w:type="dxa"/>
            <w:bottom w:w="0" w:type="dxa"/>
            <w:right w:w="108" w:type="dxa"/>
          </w:tblCellMar>
        </w:tblPrEx>
        <w:tc>
          <w:tcPr>
            <w:tcW w:w="998" w:type="pct"/>
            <w:tcBorders>
              <w:top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排放浓度</w:t>
            </w:r>
          </w:p>
        </w:tc>
        <w:tc>
          <w:tcPr>
            <w:tcW w:w="999" w:type="pct"/>
            <w:tcBorders>
              <w:top w:val="single" w:color="000000" w:sz="4" w:space="0"/>
              <w:left w:val="single" w:color="000000" w:sz="4" w:space="0"/>
              <w:bottom w:val="single" w:color="000000" w:sz="4" w:space="0"/>
            </w:tcBorders>
            <w:vAlign w:val="center"/>
          </w:tcPr>
          <w:p>
            <w:pPr>
              <w:snapToGrid w:val="0"/>
              <w:ind w:firstLine="420"/>
              <w:jc w:val="center"/>
              <w:rPr>
                <w:color w:val="auto"/>
                <w:sz w:val="21"/>
                <w:szCs w:val="21"/>
              </w:rPr>
            </w:pPr>
            <w:r>
              <w:rPr>
                <w:rFonts w:hint="eastAsia"/>
                <w:color w:val="auto"/>
                <w:sz w:val="21"/>
                <w:szCs w:val="21"/>
              </w:rPr>
              <w:t>—</w:t>
            </w:r>
          </w:p>
        </w:tc>
        <w:tc>
          <w:tcPr>
            <w:tcW w:w="999" w:type="pct"/>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39.58mg/m³</w:t>
            </w:r>
          </w:p>
        </w:tc>
        <w:tc>
          <w:tcPr>
            <w:tcW w:w="999" w:type="pct"/>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31.6mg/m³</w:t>
            </w:r>
          </w:p>
        </w:tc>
        <w:tc>
          <w:tcPr>
            <w:tcW w:w="1003" w:type="pct"/>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2.78mg/m³</w:t>
            </w:r>
          </w:p>
        </w:tc>
      </w:tr>
      <w:tr>
        <w:tblPrEx>
          <w:tblCellMar>
            <w:top w:w="0" w:type="dxa"/>
            <w:left w:w="108" w:type="dxa"/>
            <w:bottom w:w="0" w:type="dxa"/>
            <w:right w:w="108" w:type="dxa"/>
          </w:tblCellMar>
        </w:tblPrEx>
        <w:tc>
          <w:tcPr>
            <w:tcW w:w="998" w:type="pct"/>
            <w:tcBorders>
              <w:top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排放标准</w:t>
            </w:r>
          </w:p>
        </w:tc>
        <w:tc>
          <w:tcPr>
            <w:tcW w:w="4001" w:type="pct"/>
            <w:gridSpan w:val="4"/>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《锅炉大气污染物排放标准》(GB13271-2014)表2燃油锅炉排放标准</w:t>
            </w:r>
          </w:p>
        </w:tc>
      </w:tr>
      <w:tr>
        <w:tblPrEx>
          <w:tblCellMar>
            <w:top w:w="0" w:type="dxa"/>
            <w:left w:w="108" w:type="dxa"/>
            <w:bottom w:w="0" w:type="dxa"/>
            <w:right w:w="108" w:type="dxa"/>
          </w:tblCellMar>
        </w:tblPrEx>
        <w:trPr>
          <w:trHeight w:val="508" w:hRule="atLeast"/>
        </w:trPr>
        <w:tc>
          <w:tcPr>
            <w:tcW w:w="998" w:type="pct"/>
            <w:tcBorders>
              <w:top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限值</w:t>
            </w:r>
          </w:p>
        </w:tc>
        <w:tc>
          <w:tcPr>
            <w:tcW w:w="999" w:type="pct"/>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w:t>
            </w:r>
          </w:p>
        </w:tc>
        <w:tc>
          <w:tcPr>
            <w:tcW w:w="999" w:type="pct"/>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200mg/m³</w:t>
            </w:r>
          </w:p>
        </w:tc>
        <w:tc>
          <w:tcPr>
            <w:tcW w:w="999" w:type="pct"/>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250mg/m³</w:t>
            </w:r>
          </w:p>
        </w:tc>
        <w:tc>
          <w:tcPr>
            <w:tcW w:w="1003" w:type="pct"/>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30mg/m³</w:t>
            </w:r>
          </w:p>
        </w:tc>
      </w:tr>
    </w:tbl>
    <w:p>
      <w:pPr>
        <w:ind w:firstLine="422"/>
        <w:rPr>
          <w:rFonts w:hint="eastAsia" w:ascii="宋体" w:hAnsi="宋体" w:cs="宋体"/>
          <w:color w:val="auto"/>
          <w:sz w:val="21"/>
          <w:szCs w:val="21"/>
        </w:rPr>
      </w:pPr>
      <w:r>
        <w:rPr>
          <w:rFonts w:hint="eastAsia" w:ascii="宋体" w:hAnsi="宋体" w:cs="宋体"/>
          <w:b/>
          <w:color w:val="auto"/>
          <w:sz w:val="21"/>
          <w:szCs w:val="21"/>
        </w:rPr>
        <w:t>注：</w:t>
      </w:r>
      <w:r>
        <w:rPr>
          <w:rFonts w:hint="eastAsia" w:ascii="宋体" w:hAnsi="宋体" w:cs="宋体"/>
          <w:color w:val="auto"/>
          <w:sz w:val="21"/>
          <w:szCs w:val="21"/>
        </w:rPr>
        <w:t>①产排污系数表中二氧化硫的产排污系数是以含硫量（S）的形式表示的，其中含硫量（S）是指燃油收到基硫分含量，本项目柴油含硫量≤0.2%（以0.2%计，S=0.2）。</w:t>
      </w:r>
    </w:p>
    <w:p>
      <w:pPr>
        <w:ind w:firstLine="480"/>
        <w:rPr>
          <w:color w:val="auto"/>
        </w:rPr>
      </w:pPr>
      <w:r>
        <w:rPr>
          <w:rFonts w:hint="eastAsia"/>
          <w:color w:val="auto"/>
        </w:rPr>
        <w:t>由上表可知，锅炉废气中氮氧化物、颗粒物、SO</w:t>
      </w:r>
      <w:r>
        <w:rPr>
          <w:rFonts w:hint="eastAsia"/>
          <w:color w:val="auto"/>
          <w:vertAlign w:val="subscript"/>
        </w:rPr>
        <w:t>2</w:t>
      </w:r>
      <w:r>
        <w:rPr>
          <w:rFonts w:hint="eastAsia"/>
          <w:color w:val="auto"/>
        </w:rPr>
        <w:t>的排放满足《锅炉大气污染物排放标准》（GB13271—2014）表2新建燃油锅炉排放浓度限值。</w:t>
      </w:r>
    </w:p>
    <w:p>
      <w:pPr>
        <w:pStyle w:val="5"/>
        <w:ind w:firstLine="562" w:firstLineChars="200"/>
        <w:rPr>
          <w:color w:val="auto"/>
        </w:rPr>
      </w:pPr>
      <w:r>
        <w:rPr>
          <w:rFonts w:hint="eastAsia"/>
          <w:color w:val="auto"/>
        </w:rPr>
        <w:t>2.2.2沥青拌合综合废气（DA002）</w:t>
      </w:r>
    </w:p>
    <w:p>
      <w:pPr>
        <w:ind w:firstLine="480"/>
        <w:rPr>
          <w:color w:val="auto"/>
        </w:rPr>
      </w:pPr>
      <w:r>
        <w:rPr>
          <w:rFonts w:hint="eastAsia"/>
          <w:color w:val="auto"/>
        </w:rPr>
        <w:t>项目</w:t>
      </w:r>
      <w:r>
        <w:rPr>
          <w:rFonts w:hint="eastAsia" w:asciiTheme="minorEastAsia" w:hAnsiTheme="minorEastAsia" w:eastAsiaTheme="minorEastAsia" w:cstheme="minorEastAsia"/>
          <w:color w:val="auto"/>
        </w:rPr>
        <w:t>沥青加热、拌合过程中产生的废气经过“电捕焦油器+活性炭吸附净化”处理，烘干废气经过袋式除尘器处理后一同通过</w:t>
      </w:r>
      <w:r>
        <w:rPr>
          <w:rFonts w:hint="eastAsia"/>
          <w:color w:val="auto"/>
        </w:rPr>
        <w:t>排气筒DA002排放。</w:t>
      </w:r>
    </w:p>
    <w:p>
      <w:pPr>
        <w:pStyle w:val="6"/>
        <w:ind w:firstLine="482"/>
        <w:rPr>
          <w:color w:val="auto"/>
        </w:rPr>
      </w:pPr>
      <w:r>
        <w:rPr>
          <w:rFonts w:hint="eastAsia"/>
          <w:color w:val="auto"/>
        </w:rPr>
        <w:t>（1）沥青加热、拌合废气</w:t>
      </w:r>
    </w:p>
    <w:p>
      <w:pPr>
        <w:pStyle w:val="21"/>
        <w:spacing w:after="0" w:line="360" w:lineRule="auto"/>
        <w:ind w:left="0" w:leftChars="0" w:firstLine="48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项目搅拌工序由于热沥青的加入，且沥青为粘性物质，同时搅拌设备为密闭设备，因此搅拌过程中粉尘产生量甚微，本次评价不定量评价，沥青加热、拌合过程中主要的废气为</w:t>
      </w:r>
      <w:r>
        <w:rPr>
          <w:rFonts w:hint="eastAsia" w:ascii="宋体" w:hAnsi="宋体" w:cs="宋体"/>
          <w:color w:val="auto"/>
          <w:szCs w:val="24"/>
        </w:rPr>
        <w:t>沥青烟、苯并[a]芘</w:t>
      </w:r>
      <w:r>
        <w:rPr>
          <w:rFonts w:hint="eastAsia" w:asciiTheme="minorEastAsia" w:hAnsiTheme="minorEastAsia" w:eastAsiaTheme="minorEastAsia" w:cstheme="minorEastAsia"/>
          <w:color w:val="auto"/>
          <w:szCs w:val="24"/>
        </w:rPr>
        <w:t>。</w:t>
      </w:r>
    </w:p>
    <w:p>
      <w:pPr>
        <w:pStyle w:val="21"/>
        <w:spacing w:after="0" w:line="360" w:lineRule="auto"/>
        <w:ind w:left="0" w:leftChars="0" w:firstLine="480"/>
        <w:rPr>
          <w:rFonts w:hint="eastAsia" w:ascii="宋体" w:hAnsi="宋体" w:cs="宋体"/>
          <w:color w:val="auto"/>
          <w:kern w:val="0"/>
          <w:szCs w:val="24"/>
          <w:lang w:bidi="ar"/>
        </w:rPr>
      </w:pPr>
      <w:r>
        <w:rPr>
          <w:color w:val="auto"/>
        </w:rPr>
        <w:t>项目外购的沥青储存在沥青储罐内，使用导热油炉对沥青进行加热或保持温度，</w:t>
      </w:r>
      <w:r>
        <w:rPr>
          <w:color w:val="auto"/>
          <w:szCs w:val="24"/>
        </w:rPr>
        <w:t>由沥青泵输送到沥青计量器，按一定比例进行配比混合，经混合后通过专用管道送入沥青拌合站与骨料混合，沥青加热</w:t>
      </w:r>
      <w:r>
        <w:rPr>
          <w:rFonts w:hint="eastAsia"/>
          <w:color w:val="auto"/>
          <w:szCs w:val="24"/>
        </w:rPr>
        <w:t>、拌合</w:t>
      </w:r>
      <w:r>
        <w:rPr>
          <w:color w:val="auto"/>
          <w:szCs w:val="24"/>
        </w:rPr>
        <w:t>采用全封闭式。</w:t>
      </w:r>
      <w:r>
        <w:rPr>
          <w:color w:val="auto"/>
          <w:kern w:val="0"/>
          <w:szCs w:val="24"/>
          <w:lang w:bidi="ar"/>
        </w:rPr>
        <w:t>项目沥青年用量为</w:t>
      </w:r>
      <w:r>
        <w:rPr>
          <w:rFonts w:hint="eastAsia"/>
          <w:color w:val="auto"/>
          <w:kern w:val="0"/>
          <w:szCs w:val="24"/>
          <w:lang w:bidi="ar"/>
        </w:rPr>
        <w:t>1350</w:t>
      </w:r>
      <w:r>
        <w:rPr>
          <w:color w:val="auto"/>
          <w:kern w:val="0"/>
          <w:szCs w:val="24"/>
          <w:lang w:bidi="ar"/>
        </w:rPr>
        <w:t>t。</w:t>
      </w:r>
      <w:r>
        <w:rPr>
          <w:rFonts w:hint="eastAsia" w:ascii="宋体" w:hAnsi="宋体" w:cs="宋体"/>
          <w:color w:val="auto"/>
        </w:rPr>
        <w:t>沥青加热、拌合过程中产生的</w:t>
      </w:r>
      <w:r>
        <w:rPr>
          <w:rFonts w:hint="eastAsia" w:ascii="宋体" w:hAnsi="宋体" w:cs="宋体"/>
          <w:color w:val="auto"/>
          <w:szCs w:val="24"/>
        </w:rPr>
        <w:t>沥青烟、苯并[a]芘。</w:t>
      </w:r>
    </w:p>
    <w:p>
      <w:pPr>
        <w:ind w:firstLine="480"/>
        <w:rPr>
          <w:rFonts w:hint="eastAsia" w:ascii="宋体" w:hAnsi="宋体" w:cs="宋体"/>
          <w:color w:val="auto"/>
        </w:rPr>
      </w:pPr>
      <w:r>
        <w:rPr>
          <w:rFonts w:hint="eastAsia" w:ascii="宋体" w:hAnsi="宋体" w:cs="宋体"/>
          <w:color w:val="auto"/>
        </w:rPr>
        <w:t>沥青烟是指石油沥青及沥青制品生产中排放的液态烃类有机颗粒物质和少量气态烃类物质（常温下），以烃类混合物为主要成分，多为多环烃类物质，其中以苯并[a]芘为代表物质。纯苯并[a]芘为黄色针状晶体，熔点179℃，沸点310℃左右，能溶于苯，稍溶于醇，不溶于水，是沥青中的强致癌物质，可以引起皮肤癌，通常附在沥青烟中小于8.0μm的颗粒上。</w:t>
      </w:r>
    </w:p>
    <w:p>
      <w:pPr>
        <w:ind w:firstLine="464"/>
        <w:rPr>
          <w:color w:val="auto"/>
          <w:spacing w:val="-4"/>
        </w:rPr>
      </w:pPr>
      <w:r>
        <w:rPr>
          <w:color w:val="auto"/>
          <w:spacing w:val="-4"/>
        </w:rPr>
        <w:t>本项目沥青储罐、拌缸均为密闭设呼吸孔，建设单位在沥青储罐、拌缸呼吸孔上方连接集气管，对出料口局部密封并连接集气罩（按照 GB16297-1996 要求“生产设备不得有明显的无组织排放存在”）。</w:t>
      </w:r>
    </w:p>
    <w:p>
      <w:pPr>
        <w:ind w:firstLine="464"/>
        <w:rPr>
          <w:color w:val="auto"/>
        </w:rPr>
      </w:pPr>
      <w:r>
        <w:rPr>
          <w:color w:val="auto"/>
          <w:spacing w:val="-4"/>
        </w:rPr>
        <w:t>参考《工业生产中的</w:t>
      </w:r>
      <w:r>
        <w:rPr>
          <w:color w:val="auto"/>
          <w:spacing w:val="-3"/>
        </w:rPr>
        <w:t>有害物质手册》第一卷(化学工业出版社，1987年</w:t>
      </w:r>
      <w:r>
        <w:rPr>
          <w:color w:val="auto"/>
          <w:spacing w:val="-4"/>
        </w:rPr>
        <w:t>12月出版)及《有机化合物污</w:t>
      </w:r>
      <w:r>
        <w:rPr>
          <w:color w:val="auto"/>
          <w:spacing w:val="-7"/>
        </w:rPr>
        <w:t>染化学》(清华大学出版社，1990年8月出版)，每吨石油沥青在加热过程中可产</w:t>
      </w:r>
      <w:r>
        <w:rPr>
          <w:color w:val="auto"/>
          <w:spacing w:val="-4"/>
        </w:rPr>
        <w:t>生56</w:t>
      </w:r>
      <w:r>
        <w:rPr>
          <w:rFonts w:hint="eastAsia"/>
          <w:color w:val="auto"/>
          <w:spacing w:val="-4"/>
        </w:rPr>
        <w:t>.</w:t>
      </w:r>
      <w:r>
        <w:rPr>
          <w:color w:val="auto"/>
          <w:spacing w:val="-4"/>
        </w:rPr>
        <w:t>25g沥青烟气，产生苯并[a]芘气体约0.10g</w:t>
      </w:r>
      <w:r>
        <w:rPr>
          <w:color w:val="auto"/>
          <w:spacing w:val="-5"/>
        </w:rPr>
        <w:t>～0.15g，本次环评取0.15g</w:t>
      </w:r>
      <w:r>
        <w:rPr>
          <w:rFonts w:hint="eastAsia"/>
          <w:color w:val="auto"/>
          <w:spacing w:val="-5"/>
        </w:rPr>
        <w:t>。</w:t>
      </w:r>
      <w:r>
        <w:rPr>
          <w:color w:val="auto"/>
          <w:spacing w:val="-3"/>
        </w:rPr>
        <w:t>本项目沥青年用量为</w:t>
      </w:r>
      <w:r>
        <w:rPr>
          <w:rFonts w:hint="eastAsia"/>
          <w:color w:val="auto"/>
          <w:spacing w:val="-3"/>
        </w:rPr>
        <w:t>1350</w:t>
      </w:r>
      <w:r>
        <w:rPr>
          <w:color w:val="auto"/>
          <w:spacing w:val="-3"/>
        </w:rPr>
        <w:t>t/a，计算</w:t>
      </w:r>
      <w:r>
        <w:rPr>
          <w:rFonts w:hint="eastAsia"/>
          <w:color w:val="auto"/>
          <w:spacing w:val="-3"/>
        </w:rPr>
        <w:t>可得</w:t>
      </w:r>
      <w:r>
        <w:rPr>
          <w:color w:val="auto"/>
          <w:spacing w:val="-3"/>
        </w:rPr>
        <w:t>沥青烟产生量为</w:t>
      </w:r>
      <w:r>
        <w:rPr>
          <w:rFonts w:hint="eastAsia"/>
          <w:color w:val="auto"/>
          <w:spacing w:val="-4"/>
        </w:rPr>
        <w:t>0.076</w:t>
      </w:r>
      <w:r>
        <w:rPr>
          <w:color w:val="auto"/>
          <w:spacing w:val="-4"/>
        </w:rPr>
        <w:t>t/a</w:t>
      </w:r>
      <w:r>
        <w:rPr>
          <w:rFonts w:hint="eastAsia"/>
          <w:color w:val="auto"/>
          <w:spacing w:val="-4"/>
        </w:rPr>
        <w:t>、</w:t>
      </w:r>
      <w:r>
        <w:rPr>
          <w:color w:val="auto"/>
          <w:spacing w:val="-4"/>
        </w:rPr>
        <w:t>苯并[a]</w:t>
      </w:r>
      <w:r>
        <w:rPr>
          <w:color w:val="auto"/>
          <w:spacing w:val="-3"/>
        </w:rPr>
        <w:t>产生量为</w:t>
      </w:r>
      <w:r>
        <w:rPr>
          <w:rFonts w:hint="eastAsia"/>
          <w:color w:val="auto"/>
          <w:spacing w:val="-3"/>
        </w:rPr>
        <w:t>0.0002</w:t>
      </w:r>
      <w:r>
        <w:rPr>
          <w:color w:val="auto"/>
          <w:spacing w:val="-4"/>
        </w:rPr>
        <w:t>t/a</w:t>
      </w:r>
      <w:r>
        <w:rPr>
          <w:rFonts w:hint="eastAsia"/>
          <w:color w:val="auto"/>
        </w:rPr>
        <w:t>。该项则苯并[a]芘、沥青烟的排放速率分别为 7</w:t>
      </w:r>
      <w:r>
        <w:rPr>
          <w:rFonts w:ascii="Arial" w:hAnsi="Arial" w:cs="Arial"/>
          <w:color w:val="auto"/>
        </w:rPr>
        <w:t>×</w:t>
      </w:r>
      <w:r>
        <w:rPr>
          <w:rFonts w:hint="eastAsia"/>
          <w:color w:val="auto"/>
        </w:rPr>
        <w:t>10</w:t>
      </w:r>
      <w:r>
        <w:rPr>
          <w:rFonts w:hint="eastAsia"/>
          <w:color w:val="auto"/>
          <w:vertAlign w:val="superscript"/>
        </w:rPr>
        <w:t>-5</w:t>
      </w:r>
      <w:r>
        <w:rPr>
          <w:rFonts w:hint="eastAsia"/>
          <w:color w:val="auto"/>
        </w:rPr>
        <w:t>kg/h、0.026kg/h。项目沥青混合料搅拌采用密闭形式，成品直接进入车辆运输。</w:t>
      </w:r>
    </w:p>
    <w:p>
      <w:pPr>
        <w:ind w:firstLine="480"/>
        <w:rPr>
          <w:color w:val="auto"/>
        </w:rPr>
      </w:pPr>
      <w:r>
        <w:rPr>
          <w:color w:val="auto"/>
        </w:rPr>
        <w:t>沥青加热、拌合采用全封闭式，沥青罐及拌合站沥青烟负压收集后进入经负压抽风（风量2000m</w:t>
      </w:r>
      <w:r>
        <w:rPr>
          <w:color w:val="auto"/>
          <w:vertAlign w:val="superscript"/>
        </w:rPr>
        <w:t>3</w:t>
      </w:r>
      <w:r>
        <w:rPr>
          <w:color w:val="auto"/>
        </w:rPr>
        <w:t>/h）引至</w:t>
      </w:r>
      <w:r>
        <w:rPr>
          <w:rFonts w:hint="eastAsia"/>
          <w:color w:val="auto"/>
        </w:rPr>
        <w:t>电捕焦油器+活性炭吸附净化</w:t>
      </w:r>
      <w:r>
        <w:rPr>
          <w:color w:val="auto"/>
        </w:rPr>
        <w:t>处理，处理效率≥</w:t>
      </w:r>
      <w:r>
        <w:rPr>
          <w:rFonts w:hint="eastAsia"/>
          <w:color w:val="auto"/>
        </w:rPr>
        <w:t>90</w:t>
      </w:r>
      <w:r>
        <w:rPr>
          <w:color w:val="auto"/>
        </w:rPr>
        <w:t>%，</w:t>
      </w:r>
      <w:r>
        <w:rPr>
          <w:rFonts w:hint="eastAsia"/>
          <w:color w:val="auto"/>
        </w:rPr>
        <w:t>经过处理后，苯并[a]芘、沥青烟的排放量分别为 0.00002t/a、0.008t/a。</w:t>
      </w:r>
      <w:r>
        <w:rPr>
          <w:color w:val="auto"/>
        </w:rPr>
        <w:t xml:space="preserve">最终经 1 根15m高排气筒 DA002 </w:t>
      </w:r>
      <w:r>
        <w:rPr>
          <w:rFonts w:hint="eastAsia"/>
          <w:color w:val="auto"/>
        </w:rPr>
        <w:t>与烘干废气一起</w:t>
      </w:r>
      <w:r>
        <w:rPr>
          <w:color w:val="auto"/>
        </w:rPr>
        <w:t>排放</w:t>
      </w:r>
      <w:r>
        <w:rPr>
          <w:rFonts w:hint="eastAsia"/>
          <w:color w:val="auto"/>
        </w:rPr>
        <w:t>，其排放情况如下表2-3所示。</w:t>
      </w:r>
    </w:p>
    <w:p>
      <w:pPr>
        <w:ind w:firstLine="482"/>
        <w:jc w:val="center"/>
        <w:rPr>
          <w:b/>
          <w:bCs/>
          <w:color w:val="auto"/>
        </w:rPr>
      </w:pPr>
      <w:r>
        <w:rPr>
          <w:b/>
          <w:bCs/>
          <w:color w:val="auto"/>
        </w:rPr>
        <w:t>表</w:t>
      </w:r>
      <w:r>
        <w:rPr>
          <w:rFonts w:hint="eastAsia"/>
          <w:b/>
          <w:bCs/>
          <w:color w:val="auto"/>
        </w:rPr>
        <w:t>2-3</w:t>
      </w:r>
      <w:r>
        <w:rPr>
          <w:b/>
          <w:bCs/>
          <w:color w:val="auto"/>
        </w:rPr>
        <w:t xml:space="preserve"> </w:t>
      </w:r>
      <w:r>
        <w:rPr>
          <w:rFonts w:hint="eastAsia" w:asciiTheme="minorEastAsia" w:hAnsiTheme="minorEastAsia" w:eastAsiaTheme="minorEastAsia" w:cstheme="minorEastAsia"/>
          <w:b/>
          <w:bCs/>
          <w:color w:val="auto"/>
        </w:rPr>
        <w:t>沥青加热、拌合废气</w:t>
      </w:r>
      <w:r>
        <w:rPr>
          <w:b/>
          <w:bCs/>
          <w:color w:val="auto"/>
        </w:rPr>
        <w:t>排放一览表</w:t>
      </w:r>
    </w:p>
    <w:tbl>
      <w:tblPr>
        <w:tblStyle w:val="31"/>
        <w:tblW w:w="4998" w:type="pct"/>
        <w:tblInd w:w="0" w:type="dxa"/>
        <w:tblLayout w:type="autofit"/>
        <w:tblCellMar>
          <w:top w:w="0" w:type="dxa"/>
          <w:left w:w="108" w:type="dxa"/>
          <w:bottom w:w="0" w:type="dxa"/>
          <w:right w:w="108" w:type="dxa"/>
        </w:tblCellMar>
      </w:tblPr>
      <w:tblGrid>
        <w:gridCol w:w="1496"/>
        <w:gridCol w:w="2974"/>
        <w:gridCol w:w="4049"/>
      </w:tblGrid>
      <w:tr>
        <w:tblPrEx>
          <w:tblCellMar>
            <w:top w:w="0" w:type="dxa"/>
            <w:left w:w="108" w:type="dxa"/>
            <w:bottom w:w="0" w:type="dxa"/>
            <w:right w:w="108" w:type="dxa"/>
          </w:tblCellMar>
        </w:tblPrEx>
        <w:trPr>
          <w:trHeight w:val="473" w:hRule="atLeast"/>
        </w:trPr>
        <w:tc>
          <w:tcPr>
            <w:tcW w:w="878" w:type="pct"/>
            <w:tcBorders>
              <w:top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污染因子</w:t>
            </w:r>
          </w:p>
        </w:tc>
        <w:tc>
          <w:tcPr>
            <w:tcW w:w="1745" w:type="pct"/>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苯并[a]芘</w:t>
            </w:r>
          </w:p>
        </w:tc>
        <w:tc>
          <w:tcPr>
            <w:tcW w:w="2375" w:type="pct"/>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沥青烟</w:t>
            </w:r>
          </w:p>
        </w:tc>
      </w:tr>
      <w:tr>
        <w:tblPrEx>
          <w:tblCellMar>
            <w:top w:w="0" w:type="dxa"/>
            <w:left w:w="108" w:type="dxa"/>
            <w:bottom w:w="0" w:type="dxa"/>
            <w:right w:w="108" w:type="dxa"/>
          </w:tblCellMar>
        </w:tblPrEx>
        <w:trPr>
          <w:trHeight w:val="901" w:hRule="atLeast"/>
        </w:trPr>
        <w:tc>
          <w:tcPr>
            <w:tcW w:w="878" w:type="pct"/>
            <w:tcBorders>
              <w:top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处理方式</w:t>
            </w:r>
          </w:p>
        </w:tc>
        <w:tc>
          <w:tcPr>
            <w:tcW w:w="4121" w:type="pct"/>
            <w:gridSpan w:val="2"/>
            <w:tcBorders>
              <w:top w:val="single" w:color="000000" w:sz="4" w:space="0"/>
              <w:left w:val="single" w:color="000000" w:sz="4" w:space="0"/>
              <w:bottom w:val="single" w:color="000000" w:sz="4" w:space="0"/>
            </w:tcBorders>
            <w:vAlign w:val="center"/>
          </w:tcPr>
          <w:p>
            <w:pPr>
              <w:snapToGrid w:val="0"/>
              <w:spacing w:line="240" w:lineRule="auto"/>
              <w:ind w:firstLine="0" w:firstLineChars="0"/>
              <w:jc w:val="center"/>
              <w:rPr>
                <w:color w:val="auto"/>
                <w:sz w:val="21"/>
                <w:szCs w:val="21"/>
              </w:rPr>
            </w:pPr>
            <w:r>
              <w:rPr>
                <w:color w:val="auto"/>
                <w:sz w:val="21"/>
                <w:szCs w:val="21"/>
              </w:rPr>
              <w:t>沥青加热、拌合采用全封闭式，沥青罐及拌合站沥青烟负压收集后进入经负压抽风引至电捕焦油器+活性炭吸附</w:t>
            </w:r>
            <w:r>
              <w:rPr>
                <w:rFonts w:hint="eastAsia"/>
                <w:color w:val="auto"/>
                <w:sz w:val="21"/>
                <w:szCs w:val="21"/>
              </w:rPr>
              <w:t>（效率90%）后，引排气筒入DA002排放</w:t>
            </w:r>
          </w:p>
        </w:tc>
      </w:tr>
      <w:tr>
        <w:tblPrEx>
          <w:tblCellMar>
            <w:top w:w="0" w:type="dxa"/>
            <w:left w:w="108" w:type="dxa"/>
            <w:bottom w:w="0" w:type="dxa"/>
            <w:right w:w="108" w:type="dxa"/>
          </w:tblCellMar>
        </w:tblPrEx>
        <w:trPr>
          <w:trHeight w:val="548" w:hRule="atLeast"/>
        </w:trPr>
        <w:tc>
          <w:tcPr>
            <w:tcW w:w="878" w:type="pct"/>
            <w:tcBorders>
              <w:top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排放量</w:t>
            </w:r>
          </w:p>
        </w:tc>
        <w:tc>
          <w:tcPr>
            <w:tcW w:w="1745" w:type="pct"/>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0.00002t/a</w:t>
            </w:r>
          </w:p>
        </w:tc>
        <w:tc>
          <w:tcPr>
            <w:tcW w:w="2375" w:type="pct"/>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0.008t/a</w:t>
            </w:r>
          </w:p>
        </w:tc>
      </w:tr>
    </w:tbl>
    <w:p>
      <w:pPr>
        <w:pStyle w:val="2"/>
        <w:spacing w:after="0"/>
        <w:ind w:firstLine="482"/>
        <w:rPr>
          <w:b/>
          <w:bCs/>
          <w:color w:val="auto"/>
          <w:sz w:val="24"/>
        </w:rPr>
      </w:pPr>
    </w:p>
    <w:p>
      <w:pPr>
        <w:pStyle w:val="2"/>
        <w:spacing w:after="0"/>
        <w:ind w:firstLine="482"/>
        <w:rPr>
          <w:b/>
          <w:bCs/>
          <w:color w:val="auto"/>
          <w:sz w:val="24"/>
        </w:rPr>
      </w:pPr>
      <w:r>
        <w:rPr>
          <w:rFonts w:hint="eastAsia"/>
          <w:b/>
          <w:bCs/>
          <w:color w:val="auto"/>
          <w:sz w:val="24"/>
        </w:rPr>
        <w:t>（2）烘干燃烧废气</w:t>
      </w:r>
    </w:p>
    <w:p>
      <w:pPr>
        <w:pStyle w:val="2"/>
        <w:spacing w:after="0"/>
        <w:ind w:firstLine="480"/>
        <w:rPr>
          <w:color w:val="auto"/>
          <w:sz w:val="24"/>
        </w:rPr>
      </w:pPr>
      <w:r>
        <w:rPr>
          <w:rFonts w:hint="eastAsia"/>
          <w:color w:val="auto"/>
          <w:sz w:val="24"/>
        </w:rPr>
        <w:t>本项目采用直接加热的方式对骨料进行加热，燃烧器燃料为重油，消耗量约为120t/a，燃烧过程中产生于一定量的燃烧废气，污染物主要为SO</w:t>
      </w:r>
      <w:r>
        <w:rPr>
          <w:rFonts w:hint="eastAsia"/>
          <w:color w:val="auto"/>
          <w:sz w:val="24"/>
          <w:vertAlign w:val="subscript"/>
        </w:rPr>
        <w:t>2</w:t>
      </w:r>
      <w:r>
        <w:rPr>
          <w:rFonts w:hint="eastAsia"/>
          <w:color w:val="auto"/>
          <w:sz w:val="24"/>
        </w:rPr>
        <w:t>、NOx、颗粒物。产生系数参考《排放源统计调查产排污核算方法和系数手册》中(2021年6月11日发布)中的4430 锅炉产排污量核算系数手册，产污系数表-燃油工业锅炉》中的系数，具体系数详见下表2-4，计算结果见表2-5。</w:t>
      </w:r>
    </w:p>
    <w:p>
      <w:pPr>
        <w:ind w:firstLine="482"/>
        <w:jc w:val="center"/>
        <w:rPr>
          <w:b/>
          <w:bCs/>
          <w:color w:val="auto"/>
        </w:rPr>
      </w:pPr>
      <w:r>
        <w:rPr>
          <w:rFonts w:hint="eastAsia"/>
          <w:b/>
          <w:bCs/>
          <w:color w:val="auto"/>
        </w:rPr>
        <w:t>表2-4  燃油废气产生系数</w:t>
      </w:r>
    </w:p>
    <w:tbl>
      <w:tblPr>
        <w:tblStyle w:val="32"/>
        <w:tblW w:w="49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4"/>
        <w:gridCol w:w="890"/>
        <w:gridCol w:w="1261"/>
        <w:gridCol w:w="953"/>
        <w:gridCol w:w="1251"/>
        <w:gridCol w:w="1145"/>
        <w:gridCol w:w="1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1" w:type="pct"/>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r>
              <w:rPr>
                <w:rFonts w:ascii="Times New Roman" w:hAnsi="Times New Roman"/>
                <w:color w:val="auto"/>
                <w:sz w:val="21"/>
              </w:rPr>
              <w:t>污染物指标</w:t>
            </w:r>
          </w:p>
        </w:tc>
        <w:tc>
          <w:tcPr>
            <w:tcW w:w="523" w:type="pct"/>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r>
              <w:rPr>
                <w:rFonts w:ascii="Times New Roman" w:hAnsi="Times New Roman"/>
                <w:color w:val="auto"/>
                <w:sz w:val="21"/>
              </w:rPr>
              <w:t>原料名称</w:t>
            </w:r>
          </w:p>
        </w:tc>
        <w:tc>
          <w:tcPr>
            <w:tcW w:w="741" w:type="pct"/>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r>
              <w:rPr>
                <w:rFonts w:ascii="Times New Roman" w:hAnsi="Times New Roman"/>
                <w:color w:val="auto"/>
                <w:sz w:val="21"/>
              </w:rPr>
              <w:t>单位</w:t>
            </w:r>
          </w:p>
        </w:tc>
        <w:tc>
          <w:tcPr>
            <w:tcW w:w="560" w:type="pct"/>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r>
              <w:rPr>
                <w:rFonts w:ascii="Times New Roman" w:hAnsi="Times New Roman"/>
                <w:color w:val="auto"/>
                <w:sz w:val="21"/>
              </w:rPr>
              <w:t>产污系数</w:t>
            </w:r>
          </w:p>
        </w:tc>
        <w:tc>
          <w:tcPr>
            <w:tcW w:w="735" w:type="pct"/>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r>
              <w:rPr>
                <w:rFonts w:ascii="Times New Roman" w:hAnsi="Times New Roman"/>
                <w:color w:val="auto"/>
                <w:sz w:val="21"/>
              </w:rPr>
              <w:t>末端治理技术名称</w:t>
            </w:r>
          </w:p>
        </w:tc>
        <w:tc>
          <w:tcPr>
            <w:tcW w:w="673" w:type="pct"/>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r>
              <w:rPr>
                <w:rFonts w:ascii="Times New Roman" w:hAnsi="Times New Roman"/>
                <w:color w:val="auto"/>
                <w:sz w:val="21"/>
              </w:rPr>
              <w:t>排污系数</w:t>
            </w:r>
          </w:p>
        </w:tc>
        <w:tc>
          <w:tcPr>
            <w:tcW w:w="1104" w:type="pct"/>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r>
              <w:rPr>
                <w:rFonts w:ascii="Times New Roman" w:hAnsi="Times New Roman"/>
                <w:color w:val="auto"/>
                <w:sz w:val="21"/>
              </w:rPr>
              <w:t>依据来源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661" w:type="pct"/>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r>
              <w:rPr>
                <w:rFonts w:ascii="Times New Roman" w:hAnsi="Times New Roman"/>
                <w:color w:val="auto"/>
                <w:sz w:val="21"/>
              </w:rPr>
              <w:t>废气量</w:t>
            </w:r>
          </w:p>
        </w:tc>
        <w:tc>
          <w:tcPr>
            <w:tcW w:w="523" w:type="pct"/>
            <w:vMerge w:val="restart"/>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r>
              <w:rPr>
                <w:rFonts w:hint="eastAsia" w:ascii="Times New Roman" w:hAnsi="Times New Roman"/>
                <w:color w:val="auto"/>
                <w:sz w:val="21"/>
              </w:rPr>
              <w:t>重油</w:t>
            </w:r>
          </w:p>
        </w:tc>
        <w:tc>
          <w:tcPr>
            <w:tcW w:w="741" w:type="pct"/>
            <w:tcBorders>
              <w:tl2br w:val="nil"/>
              <w:tr2bl w:val="nil"/>
            </w:tcBorders>
            <w:vAlign w:val="center"/>
          </w:tcPr>
          <w:p>
            <w:pPr>
              <w:adjustRightInd w:val="0"/>
              <w:snapToGrid w:val="0"/>
              <w:ind w:firstLine="0" w:firstLineChars="0"/>
              <w:jc w:val="center"/>
              <w:outlineLvl w:val="0"/>
              <w:rPr>
                <w:color w:val="auto"/>
                <w:sz w:val="21"/>
                <w:szCs w:val="21"/>
              </w:rPr>
            </w:pPr>
            <w:r>
              <w:rPr>
                <w:color w:val="auto"/>
                <w:sz w:val="21"/>
                <w:szCs w:val="21"/>
              </w:rPr>
              <w:t>m</w:t>
            </w:r>
            <w:r>
              <w:rPr>
                <w:color w:val="auto"/>
                <w:sz w:val="21"/>
                <w:szCs w:val="21"/>
                <w:vertAlign w:val="superscript"/>
              </w:rPr>
              <w:t>3</w:t>
            </w:r>
            <w:r>
              <w:rPr>
                <w:color w:val="auto"/>
                <w:sz w:val="21"/>
                <w:szCs w:val="21"/>
              </w:rPr>
              <w:t>/</w:t>
            </w:r>
            <w:r>
              <w:rPr>
                <w:rFonts w:hint="eastAsia"/>
                <w:color w:val="auto"/>
                <w:sz w:val="21"/>
                <w:szCs w:val="21"/>
              </w:rPr>
              <w:t>t</w:t>
            </w:r>
            <w:r>
              <w:rPr>
                <w:color w:val="auto"/>
                <w:sz w:val="21"/>
                <w:szCs w:val="21"/>
              </w:rPr>
              <w:t>-燃料</w:t>
            </w:r>
          </w:p>
        </w:tc>
        <w:tc>
          <w:tcPr>
            <w:tcW w:w="560" w:type="pct"/>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r>
              <w:rPr>
                <w:rFonts w:hint="eastAsia" w:ascii="Times New Roman" w:hAnsi="Times New Roman"/>
                <w:color w:val="auto"/>
                <w:sz w:val="21"/>
              </w:rPr>
              <w:t>15367</w:t>
            </w:r>
          </w:p>
        </w:tc>
        <w:tc>
          <w:tcPr>
            <w:tcW w:w="735" w:type="pct"/>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r>
              <w:rPr>
                <w:rFonts w:ascii="Times New Roman" w:hAnsi="Times New Roman"/>
                <w:color w:val="auto"/>
                <w:sz w:val="21"/>
              </w:rPr>
              <w:t>/</w:t>
            </w:r>
          </w:p>
        </w:tc>
        <w:tc>
          <w:tcPr>
            <w:tcW w:w="673" w:type="pct"/>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r>
              <w:rPr>
                <w:rFonts w:ascii="Times New Roman" w:hAnsi="Times New Roman"/>
                <w:color w:val="auto"/>
                <w:sz w:val="21"/>
              </w:rPr>
              <w:t>/</w:t>
            </w:r>
          </w:p>
        </w:tc>
        <w:tc>
          <w:tcPr>
            <w:tcW w:w="1104" w:type="pct"/>
            <w:vMerge w:val="restart"/>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r>
              <w:rPr>
                <w:rFonts w:ascii="Times New Roman" w:hAnsi="Times New Roman"/>
                <w:color w:val="auto"/>
                <w:sz w:val="21"/>
              </w:rPr>
              <w:t>《排放源统计调查产排污核算方法和系数手册》（2021年6月）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661" w:type="pct"/>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r>
              <w:rPr>
                <w:rFonts w:ascii="Times New Roman" w:hAnsi="Times New Roman"/>
                <w:color w:val="auto"/>
                <w:sz w:val="21"/>
              </w:rPr>
              <w:t>SO</w:t>
            </w:r>
            <w:r>
              <w:rPr>
                <w:rFonts w:ascii="Times New Roman" w:hAnsi="Times New Roman"/>
                <w:color w:val="auto"/>
                <w:sz w:val="21"/>
                <w:vertAlign w:val="subscript"/>
              </w:rPr>
              <w:t>2</w:t>
            </w:r>
          </w:p>
        </w:tc>
        <w:tc>
          <w:tcPr>
            <w:tcW w:w="523" w:type="pct"/>
            <w:vMerge w:val="continue"/>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p>
        </w:tc>
        <w:tc>
          <w:tcPr>
            <w:tcW w:w="741" w:type="pct"/>
            <w:tcBorders>
              <w:tl2br w:val="nil"/>
              <w:tr2bl w:val="nil"/>
            </w:tcBorders>
            <w:vAlign w:val="center"/>
          </w:tcPr>
          <w:p>
            <w:pPr>
              <w:adjustRightInd w:val="0"/>
              <w:snapToGrid w:val="0"/>
              <w:ind w:firstLine="0" w:firstLineChars="0"/>
              <w:jc w:val="center"/>
              <w:outlineLvl w:val="0"/>
              <w:rPr>
                <w:color w:val="auto"/>
                <w:sz w:val="21"/>
                <w:szCs w:val="21"/>
              </w:rPr>
            </w:pPr>
            <w:r>
              <w:rPr>
                <w:color w:val="auto"/>
                <w:sz w:val="21"/>
                <w:szCs w:val="21"/>
              </w:rPr>
              <w:t>kg/</w:t>
            </w:r>
            <w:r>
              <w:rPr>
                <w:rFonts w:hint="eastAsia"/>
                <w:color w:val="auto"/>
                <w:sz w:val="21"/>
                <w:szCs w:val="21"/>
              </w:rPr>
              <w:t>t</w:t>
            </w:r>
            <w:r>
              <w:rPr>
                <w:color w:val="auto"/>
                <w:sz w:val="21"/>
                <w:szCs w:val="21"/>
              </w:rPr>
              <w:t>-燃料</w:t>
            </w:r>
          </w:p>
        </w:tc>
        <w:tc>
          <w:tcPr>
            <w:tcW w:w="560" w:type="pct"/>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r>
              <w:rPr>
                <w:rFonts w:hint="eastAsia" w:ascii="Times New Roman" w:hAnsi="Times New Roman"/>
                <w:color w:val="auto"/>
                <w:sz w:val="21"/>
              </w:rPr>
              <w:t>19</w:t>
            </w:r>
            <w:r>
              <w:rPr>
                <w:rFonts w:ascii="Times New Roman" w:hAnsi="Times New Roman"/>
                <w:color w:val="auto"/>
                <w:sz w:val="21"/>
              </w:rPr>
              <w:t>S</w:t>
            </w:r>
          </w:p>
        </w:tc>
        <w:tc>
          <w:tcPr>
            <w:tcW w:w="735" w:type="pct"/>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r>
              <w:rPr>
                <w:rFonts w:ascii="Times New Roman" w:hAnsi="Times New Roman"/>
                <w:color w:val="auto"/>
                <w:sz w:val="21"/>
              </w:rPr>
              <w:t>直排</w:t>
            </w:r>
          </w:p>
        </w:tc>
        <w:tc>
          <w:tcPr>
            <w:tcW w:w="673" w:type="pct"/>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r>
              <w:rPr>
                <w:rFonts w:hint="eastAsia" w:ascii="Times New Roman" w:hAnsi="Times New Roman"/>
                <w:color w:val="auto"/>
                <w:sz w:val="21"/>
              </w:rPr>
              <w:t>19</w:t>
            </w:r>
            <w:r>
              <w:rPr>
                <w:rFonts w:ascii="Times New Roman" w:hAnsi="Times New Roman"/>
                <w:color w:val="auto"/>
                <w:sz w:val="21"/>
              </w:rPr>
              <w:t>S</w:t>
            </w:r>
          </w:p>
        </w:tc>
        <w:tc>
          <w:tcPr>
            <w:tcW w:w="1104" w:type="pct"/>
            <w:vMerge w:val="continue"/>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1" w:type="pct"/>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r>
              <w:rPr>
                <w:rFonts w:ascii="Times New Roman" w:hAnsi="Times New Roman"/>
                <w:color w:val="auto"/>
                <w:sz w:val="21"/>
              </w:rPr>
              <w:t>NO</w:t>
            </w:r>
            <w:r>
              <w:rPr>
                <w:rFonts w:ascii="Times New Roman" w:hAnsi="Times New Roman"/>
                <w:color w:val="auto"/>
                <w:sz w:val="21"/>
                <w:vertAlign w:val="subscript"/>
              </w:rPr>
              <w:t>x</w:t>
            </w:r>
          </w:p>
        </w:tc>
        <w:tc>
          <w:tcPr>
            <w:tcW w:w="523" w:type="pct"/>
            <w:vMerge w:val="continue"/>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p>
        </w:tc>
        <w:tc>
          <w:tcPr>
            <w:tcW w:w="741" w:type="pct"/>
            <w:tcBorders>
              <w:tl2br w:val="nil"/>
              <w:tr2bl w:val="nil"/>
            </w:tcBorders>
            <w:vAlign w:val="center"/>
          </w:tcPr>
          <w:p>
            <w:pPr>
              <w:adjustRightInd w:val="0"/>
              <w:snapToGrid w:val="0"/>
              <w:ind w:firstLine="0" w:firstLineChars="0"/>
              <w:jc w:val="center"/>
              <w:outlineLvl w:val="0"/>
              <w:rPr>
                <w:color w:val="auto"/>
                <w:sz w:val="21"/>
                <w:szCs w:val="21"/>
              </w:rPr>
            </w:pPr>
            <w:r>
              <w:rPr>
                <w:color w:val="auto"/>
                <w:sz w:val="21"/>
                <w:szCs w:val="21"/>
              </w:rPr>
              <w:t>kg/</w:t>
            </w:r>
            <w:r>
              <w:rPr>
                <w:rFonts w:hint="eastAsia"/>
                <w:color w:val="auto"/>
                <w:sz w:val="21"/>
                <w:szCs w:val="21"/>
              </w:rPr>
              <w:t>t</w:t>
            </w:r>
            <w:r>
              <w:rPr>
                <w:color w:val="auto"/>
                <w:sz w:val="21"/>
                <w:szCs w:val="21"/>
              </w:rPr>
              <w:t>-燃料</w:t>
            </w:r>
          </w:p>
        </w:tc>
        <w:tc>
          <w:tcPr>
            <w:tcW w:w="560" w:type="pct"/>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r>
              <w:rPr>
                <w:rFonts w:hint="eastAsia" w:ascii="Times New Roman" w:hAnsi="Times New Roman"/>
                <w:color w:val="auto"/>
                <w:sz w:val="21"/>
              </w:rPr>
              <w:t>3.03</w:t>
            </w:r>
          </w:p>
        </w:tc>
        <w:tc>
          <w:tcPr>
            <w:tcW w:w="735" w:type="pct"/>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r>
              <w:rPr>
                <w:rFonts w:ascii="Times New Roman" w:hAnsi="Times New Roman"/>
                <w:color w:val="auto"/>
                <w:sz w:val="21"/>
              </w:rPr>
              <w:t>直排</w:t>
            </w:r>
          </w:p>
        </w:tc>
        <w:tc>
          <w:tcPr>
            <w:tcW w:w="673" w:type="pct"/>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r>
              <w:rPr>
                <w:rFonts w:hint="eastAsia" w:ascii="Times New Roman" w:hAnsi="Times New Roman"/>
                <w:color w:val="auto"/>
                <w:sz w:val="21"/>
              </w:rPr>
              <w:t>3.6</w:t>
            </w:r>
          </w:p>
        </w:tc>
        <w:tc>
          <w:tcPr>
            <w:tcW w:w="1104" w:type="pct"/>
            <w:vMerge w:val="continue"/>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1" w:type="pct"/>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r>
              <w:rPr>
                <w:rFonts w:ascii="Times New Roman" w:hAnsi="Times New Roman"/>
                <w:color w:val="auto"/>
                <w:sz w:val="21"/>
              </w:rPr>
              <w:t>颗粒物</w:t>
            </w:r>
          </w:p>
        </w:tc>
        <w:tc>
          <w:tcPr>
            <w:tcW w:w="523" w:type="pct"/>
            <w:vMerge w:val="continue"/>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p>
        </w:tc>
        <w:tc>
          <w:tcPr>
            <w:tcW w:w="741" w:type="pct"/>
            <w:tcBorders>
              <w:tl2br w:val="nil"/>
              <w:tr2bl w:val="nil"/>
            </w:tcBorders>
            <w:vAlign w:val="center"/>
          </w:tcPr>
          <w:p>
            <w:pPr>
              <w:adjustRightInd w:val="0"/>
              <w:snapToGrid w:val="0"/>
              <w:ind w:firstLine="0" w:firstLineChars="0"/>
              <w:jc w:val="center"/>
              <w:outlineLvl w:val="0"/>
              <w:rPr>
                <w:color w:val="auto"/>
                <w:sz w:val="21"/>
                <w:szCs w:val="21"/>
              </w:rPr>
            </w:pPr>
            <w:r>
              <w:rPr>
                <w:color w:val="auto"/>
                <w:sz w:val="21"/>
                <w:szCs w:val="21"/>
              </w:rPr>
              <w:t>kg/</w:t>
            </w:r>
            <w:r>
              <w:rPr>
                <w:rFonts w:hint="eastAsia"/>
                <w:color w:val="auto"/>
                <w:sz w:val="21"/>
                <w:szCs w:val="21"/>
              </w:rPr>
              <w:t>t</w:t>
            </w:r>
            <w:r>
              <w:rPr>
                <w:color w:val="auto"/>
                <w:sz w:val="21"/>
                <w:szCs w:val="21"/>
              </w:rPr>
              <w:t>-燃料</w:t>
            </w:r>
          </w:p>
        </w:tc>
        <w:tc>
          <w:tcPr>
            <w:tcW w:w="560" w:type="pct"/>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r>
              <w:rPr>
                <w:rFonts w:hint="eastAsia" w:ascii="Times New Roman" w:hAnsi="Times New Roman"/>
                <w:color w:val="auto"/>
                <w:sz w:val="21"/>
              </w:rPr>
              <w:t>0.26</w:t>
            </w:r>
          </w:p>
        </w:tc>
        <w:tc>
          <w:tcPr>
            <w:tcW w:w="735" w:type="pct"/>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r>
              <w:rPr>
                <w:rFonts w:ascii="Times New Roman" w:hAnsi="Times New Roman"/>
                <w:color w:val="auto"/>
                <w:sz w:val="21"/>
              </w:rPr>
              <w:t>直排</w:t>
            </w:r>
          </w:p>
        </w:tc>
        <w:tc>
          <w:tcPr>
            <w:tcW w:w="673" w:type="pct"/>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r>
              <w:rPr>
                <w:rFonts w:hint="eastAsia" w:ascii="Times New Roman" w:hAnsi="Times New Roman"/>
                <w:color w:val="auto"/>
                <w:sz w:val="21"/>
              </w:rPr>
              <w:t>3.28</w:t>
            </w:r>
          </w:p>
        </w:tc>
        <w:tc>
          <w:tcPr>
            <w:tcW w:w="1104" w:type="pct"/>
            <w:vMerge w:val="continue"/>
            <w:tcBorders>
              <w:tl2br w:val="nil"/>
              <w:tr2bl w:val="nil"/>
            </w:tcBorders>
            <w:vAlign w:val="center"/>
          </w:tcPr>
          <w:p>
            <w:pPr>
              <w:pStyle w:val="19"/>
              <w:adjustRightInd w:val="0"/>
              <w:snapToGrid w:val="0"/>
              <w:ind w:firstLine="0" w:firstLineChars="0"/>
              <w:jc w:val="center"/>
              <w:outlineLvl w:val="0"/>
              <w:rPr>
                <w:rFonts w:ascii="Times New Roman" w:hAnsi="Times New Roman"/>
                <w:color w:val="auto"/>
                <w:sz w:val="21"/>
              </w:rPr>
            </w:pPr>
          </w:p>
        </w:tc>
      </w:tr>
    </w:tbl>
    <w:p>
      <w:pPr>
        <w:pStyle w:val="2"/>
        <w:spacing w:after="0"/>
        <w:ind w:firstLine="480"/>
        <w:rPr>
          <w:color w:val="auto"/>
          <w:sz w:val="24"/>
        </w:rPr>
      </w:pPr>
    </w:p>
    <w:p>
      <w:pPr>
        <w:ind w:firstLine="482"/>
        <w:jc w:val="center"/>
        <w:rPr>
          <w:b/>
          <w:bCs/>
          <w:color w:val="auto"/>
        </w:rPr>
      </w:pPr>
      <w:r>
        <w:rPr>
          <w:b/>
          <w:bCs/>
          <w:color w:val="auto"/>
        </w:rPr>
        <w:t>表</w:t>
      </w:r>
      <w:r>
        <w:rPr>
          <w:rFonts w:hint="eastAsia"/>
          <w:b/>
          <w:bCs/>
          <w:color w:val="auto"/>
        </w:rPr>
        <w:t>2-5</w:t>
      </w:r>
      <w:r>
        <w:rPr>
          <w:b/>
          <w:bCs/>
          <w:color w:val="auto"/>
        </w:rPr>
        <w:t xml:space="preserve"> </w:t>
      </w:r>
      <w:r>
        <w:rPr>
          <w:rFonts w:hint="eastAsia"/>
          <w:b/>
          <w:bCs/>
          <w:color w:val="auto"/>
        </w:rPr>
        <w:t>烘干燃烧</w:t>
      </w:r>
      <w:r>
        <w:rPr>
          <w:b/>
          <w:bCs/>
          <w:color w:val="auto"/>
        </w:rPr>
        <w:t>废气排放一览表</w:t>
      </w:r>
    </w:p>
    <w:tbl>
      <w:tblPr>
        <w:tblStyle w:val="31"/>
        <w:tblW w:w="4998" w:type="pct"/>
        <w:tblInd w:w="0" w:type="dxa"/>
        <w:tblLayout w:type="autofit"/>
        <w:tblCellMar>
          <w:top w:w="0" w:type="dxa"/>
          <w:left w:w="108" w:type="dxa"/>
          <w:bottom w:w="0" w:type="dxa"/>
          <w:right w:w="108" w:type="dxa"/>
        </w:tblCellMar>
      </w:tblPr>
      <w:tblGrid>
        <w:gridCol w:w="1699"/>
        <w:gridCol w:w="2420"/>
        <w:gridCol w:w="2459"/>
        <w:gridCol w:w="1941"/>
      </w:tblGrid>
      <w:tr>
        <w:tblPrEx>
          <w:tblCellMar>
            <w:top w:w="0" w:type="dxa"/>
            <w:left w:w="108" w:type="dxa"/>
            <w:bottom w:w="0" w:type="dxa"/>
            <w:right w:w="108" w:type="dxa"/>
          </w:tblCellMar>
        </w:tblPrEx>
        <w:trPr>
          <w:trHeight w:val="473" w:hRule="atLeast"/>
        </w:trPr>
        <w:tc>
          <w:tcPr>
            <w:tcW w:w="997" w:type="pct"/>
            <w:tcBorders>
              <w:top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污染因子</w:t>
            </w:r>
          </w:p>
        </w:tc>
        <w:tc>
          <w:tcPr>
            <w:tcW w:w="1420" w:type="pct"/>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二氧化硫</w:t>
            </w:r>
          </w:p>
        </w:tc>
        <w:tc>
          <w:tcPr>
            <w:tcW w:w="1443" w:type="pct"/>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氮氧化物</w:t>
            </w:r>
          </w:p>
        </w:tc>
        <w:tc>
          <w:tcPr>
            <w:tcW w:w="1138" w:type="pct"/>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烟尘</w:t>
            </w:r>
          </w:p>
        </w:tc>
      </w:tr>
      <w:tr>
        <w:tblPrEx>
          <w:tblCellMar>
            <w:top w:w="0" w:type="dxa"/>
            <w:left w:w="108" w:type="dxa"/>
            <w:bottom w:w="0" w:type="dxa"/>
            <w:right w:w="108" w:type="dxa"/>
          </w:tblCellMar>
        </w:tblPrEx>
        <w:trPr>
          <w:trHeight w:val="400" w:hRule="atLeast"/>
        </w:trPr>
        <w:tc>
          <w:tcPr>
            <w:tcW w:w="997" w:type="pct"/>
            <w:tcBorders>
              <w:top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排放系数</w:t>
            </w:r>
          </w:p>
        </w:tc>
        <w:tc>
          <w:tcPr>
            <w:tcW w:w="1420" w:type="pct"/>
            <w:tcBorders>
              <w:top w:val="single" w:color="000000" w:sz="4" w:space="0"/>
              <w:left w:val="single" w:color="000000" w:sz="4" w:space="0"/>
              <w:bottom w:val="single" w:color="000000" w:sz="4" w:space="0"/>
            </w:tcBorders>
            <w:vAlign w:val="center"/>
          </w:tcPr>
          <w:p>
            <w:pPr>
              <w:spacing w:line="240" w:lineRule="auto"/>
              <w:ind w:firstLine="0" w:firstLineChars="0"/>
              <w:jc w:val="center"/>
              <w:rPr>
                <w:color w:val="auto"/>
                <w:sz w:val="21"/>
                <w:szCs w:val="21"/>
              </w:rPr>
            </w:pPr>
            <w:r>
              <w:rPr>
                <w:rFonts w:hint="eastAsia"/>
                <w:color w:val="auto"/>
                <w:sz w:val="21"/>
                <w:szCs w:val="21"/>
              </w:rPr>
              <w:t>19Skg/万m</w:t>
            </w:r>
            <w:r>
              <w:rPr>
                <w:rFonts w:hint="eastAsia"/>
                <w:color w:val="auto"/>
                <w:sz w:val="21"/>
                <w:szCs w:val="21"/>
                <w:vertAlign w:val="superscript"/>
              </w:rPr>
              <w:t>3</w:t>
            </w:r>
          </w:p>
        </w:tc>
        <w:tc>
          <w:tcPr>
            <w:tcW w:w="1443" w:type="pct"/>
            <w:tcBorders>
              <w:top w:val="single" w:color="000000" w:sz="4" w:space="0"/>
              <w:left w:val="single" w:color="000000" w:sz="4" w:space="0"/>
              <w:bottom w:val="single" w:color="000000" w:sz="4" w:space="0"/>
            </w:tcBorders>
            <w:vAlign w:val="center"/>
          </w:tcPr>
          <w:p>
            <w:pPr>
              <w:spacing w:line="240" w:lineRule="auto"/>
              <w:ind w:firstLine="0" w:firstLineChars="0"/>
              <w:jc w:val="center"/>
              <w:rPr>
                <w:color w:val="auto"/>
                <w:sz w:val="21"/>
                <w:szCs w:val="21"/>
              </w:rPr>
            </w:pPr>
            <w:r>
              <w:rPr>
                <w:rFonts w:hint="eastAsia"/>
                <w:color w:val="auto"/>
                <w:sz w:val="21"/>
                <w:szCs w:val="21"/>
              </w:rPr>
              <w:t>3.6</w:t>
            </w:r>
            <w:r>
              <w:rPr>
                <w:color w:val="auto"/>
                <w:sz w:val="21"/>
                <w:szCs w:val="21"/>
              </w:rPr>
              <w:t>kg/</w:t>
            </w:r>
            <w:r>
              <w:rPr>
                <w:rFonts w:hint="eastAsia"/>
                <w:color w:val="auto"/>
                <w:sz w:val="21"/>
                <w:szCs w:val="21"/>
              </w:rPr>
              <w:t>t</w:t>
            </w:r>
            <w:r>
              <w:rPr>
                <w:color w:val="auto"/>
                <w:sz w:val="21"/>
                <w:szCs w:val="21"/>
              </w:rPr>
              <w:t>-燃料</w:t>
            </w:r>
          </w:p>
        </w:tc>
        <w:tc>
          <w:tcPr>
            <w:tcW w:w="1138" w:type="pct"/>
            <w:tcBorders>
              <w:top w:val="single" w:color="000000" w:sz="4" w:space="0"/>
              <w:left w:val="single" w:color="000000" w:sz="4" w:space="0"/>
              <w:bottom w:val="single" w:color="000000" w:sz="4" w:space="0"/>
            </w:tcBorders>
            <w:vAlign w:val="center"/>
          </w:tcPr>
          <w:p>
            <w:pPr>
              <w:spacing w:line="240" w:lineRule="auto"/>
              <w:ind w:firstLine="0" w:firstLineChars="0"/>
              <w:jc w:val="center"/>
              <w:rPr>
                <w:color w:val="auto"/>
                <w:sz w:val="21"/>
                <w:szCs w:val="21"/>
              </w:rPr>
            </w:pPr>
            <w:r>
              <w:rPr>
                <w:rFonts w:hint="eastAsia"/>
                <w:color w:val="auto"/>
                <w:sz w:val="21"/>
                <w:szCs w:val="21"/>
              </w:rPr>
              <w:t>3.28</w:t>
            </w:r>
            <w:r>
              <w:rPr>
                <w:color w:val="auto"/>
                <w:sz w:val="21"/>
                <w:szCs w:val="21"/>
              </w:rPr>
              <w:t>kg/</w:t>
            </w:r>
            <w:r>
              <w:rPr>
                <w:rFonts w:hint="eastAsia"/>
                <w:color w:val="auto"/>
                <w:sz w:val="21"/>
                <w:szCs w:val="21"/>
              </w:rPr>
              <w:t>t</w:t>
            </w:r>
            <w:r>
              <w:rPr>
                <w:color w:val="auto"/>
                <w:sz w:val="21"/>
                <w:szCs w:val="21"/>
              </w:rPr>
              <w:t>-燃料</w:t>
            </w:r>
          </w:p>
        </w:tc>
      </w:tr>
      <w:tr>
        <w:tblPrEx>
          <w:tblCellMar>
            <w:top w:w="0" w:type="dxa"/>
            <w:left w:w="108" w:type="dxa"/>
            <w:bottom w:w="0" w:type="dxa"/>
            <w:right w:w="108" w:type="dxa"/>
          </w:tblCellMar>
        </w:tblPrEx>
        <w:tc>
          <w:tcPr>
            <w:tcW w:w="997" w:type="pct"/>
            <w:tcBorders>
              <w:top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耗油量</w:t>
            </w:r>
          </w:p>
        </w:tc>
        <w:tc>
          <w:tcPr>
            <w:tcW w:w="4002" w:type="pct"/>
            <w:gridSpan w:val="3"/>
            <w:tcBorders>
              <w:top w:val="single" w:color="000000" w:sz="4" w:space="0"/>
              <w:left w:val="single" w:color="000000" w:sz="4" w:space="0"/>
              <w:bottom w:val="single" w:color="000000" w:sz="4" w:space="0"/>
            </w:tcBorders>
            <w:vAlign w:val="center"/>
          </w:tcPr>
          <w:p>
            <w:pPr>
              <w:ind w:firstLine="420"/>
              <w:jc w:val="center"/>
              <w:rPr>
                <w:color w:val="auto"/>
                <w:sz w:val="21"/>
                <w:szCs w:val="21"/>
              </w:rPr>
            </w:pPr>
            <w:r>
              <w:rPr>
                <w:rFonts w:hint="eastAsia"/>
                <w:color w:val="auto"/>
                <w:sz w:val="21"/>
                <w:szCs w:val="21"/>
              </w:rPr>
              <w:t>120t/a</w:t>
            </w:r>
          </w:p>
        </w:tc>
      </w:tr>
      <w:tr>
        <w:tblPrEx>
          <w:tblCellMar>
            <w:top w:w="0" w:type="dxa"/>
            <w:left w:w="108" w:type="dxa"/>
            <w:bottom w:w="0" w:type="dxa"/>
            <w:right w:w="108" w:type="dxa"/>
          </w:tblCellMar>
        </w:tblPrEx>
        <w:trPr>
          <w:trHeight w:val="548" w:hRule="atLeast"/>
        </w:trPr>
        <w:tc>
          <w:tcPr>
            <w:tcW w:w="997" w:type="pct"/>
            <w:tcBorders>
              <w:top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产生量放量</w:t>
            </w:r>
          </w:p>
        </w:tc>
        <w:tc>
          <w:tcPr>
            <w:tcW w:w="1420" w:type="pct"/>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0.456t/a</w:t>
            </w:r>
          </w:p>
        </w:tc>
        <w:tc>
          <w:tcPr>
            <w:tcW w:w="1443" w:type="pct"/>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0.432t/a</w:t>
            </w:r>
          </w:p>
        </w:tc>
        <w:tc>
          <w:tcPr>
            <w:tcW w:w="1138" w:type="pct"/>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0.394t/a</w:t>
            </w:r>
          </w:p>
        </w:tc>
      </w:tr>
    </w:tbl>
    <w:p>
      <w:pPr>
        <w:ind w:firstLine="422"/>
        <w:rPr>
          <w:rFonts w:hint="eastAsia" w:ascii="宋体" w:hAnsi="宋体" w:cs="宋体"/>
          <w:color w:val="auto"/>
          <w:sz w:val="21"/>
          <w:szCs w:val="21"/>
        </w:rPr>
      </w:pPr>
      <w:r>
        <w:rPr>
          <w:rFonts w:hint="eastAsia" w:ascii="宋体" w:hAnsi="宋体" w:cs="宋体"/>
          <w:b/>
          <w:color w:val="auto"/>
          <w:sz w:val="21"/>
          <w:szCs w:val="21"/>
        </w:rPr>
        <w:t>注：</w:t>
      </w:r>
      <w:r>
        <w:rPr>
          <w:rFonts w:hint="eastAsia" w:ascii="宋体" w:hAnsi="宋体" w:cs="宋体"/>
          <w:color w:val="auto"/>
          <w:sz w:val="21"/>
          <w:szCs w:val="21"/>
        </w:rPr>
        <w:t>①产排污系数表中二氧化硫的产排污系数是以含硫量（S）的形式表示的，其中含硫量（S）是指燃油收到基硫分含量，本项目重油含硫量≤0.2%（以0.2%计，S=0.2）。</w:t>
      </w:r>
    </w:p>
    <w:p>
      <w:pPr>
        <w:pStyle w:val="2"/>
        <w:spacing w:after="0"/>
        <w:ind w:firstLine="482"/>
        <w:rPr>
          <w:b/>
          <w:bCs/>
          <w:color w:val="auto"/>
          <w:sz w:val="24"/>
        </w:rPr>
      </w:pPr>
      <w:r>
        <w:rPr>
          <w:rFonts w:hint="eastAsia"/>
          <w:b/>
          <w:bCs/>
          <w:color w:val="auto"/>
          <w:sz w:val="24"/>
        </w:rPr>
        <w:t>（3）骨料干燥、振动筛分、计量粉尘废气</w:t>
      </w:r>
    </w:p>
    <w:p>
      <w:pPr>
        <w:pStyle w:val="2"/>
        <w:spacing w:after="0"/>
        <w:ind w:firstLine="480"/>
        <w:rPr>
          <w:color w:val="auto"/>
          <w:sz w:val="24"/>
          <w:szCs w:val="32"/>
        </w:rPr>
      </w:pPr>
      <w:r>
        <w:rPr>
          <w:rFonts w:hint="eastAsia"/>
          <w:color w:val="auto"/>
          <w:sz w:val="24"/>
          <w:szCs w:val="32"/>
        </w:rPr>
        <w:t>骨料在上沥青前要经过加热处理，骨料在全密闭的干燥滚筒内翻滚加热，烘干后再通过骨料提升机送到筛分系统经过振动筛分，然后向下依次经热料仓、级配计量系统，与矿粉和热沥青一起进入搅拌缸拌合，骨料在干燥、筛分以及计量过程中会产生粉尘。干燥及筛分的骨料主要为碎石，比重比较大，且干燥、提升、筛分及计量全过程为全密闭装置，因此，粉尘产生量较小。</w:t>
      </w:r>
    </w:p>
    <w:p>
      <w:pPr>
        <w:pStyle w:val="2"/>
        <w:spacing w:after="0"/>
        <w:ind w:firstLine="480"/>
        <w:rPr>
          <w:color w:val="auto"/>
          <w:sz w:val="24"/>
          <w:szCs w:val="32"/>
        </w:rPr>
      </w:pPr>
      <w:r>
        <w:rPr>
          <w:rFonts w:hint="eastAsia"/>
          <w:color w:val="auto"/>
          <w:sz w:val="24"/>
          <w:szCs w:val="32"/>
        </w:rPr>
        <w:t>根据《逸散性工业粉尘控制技术》的“沥青混凝土制造厂的逸散尘排放因子” 该过程排放源强参数：0.25kg/t，本项目骨料年用量约为11700t/a ，则骨料干燥、提升、筛分及计量过程产生的粉尘量为2.9t/a。</w:t>
      </w:r>
    </w:p>
    <w:p>
      <w:pPr>
        <w:pStyle w:val="2"/>
        <w:ind w:firstLine="480"/>
        <w:rPr>
          <w:color w:val="auto"/>
          <w:sz w:val="24"/>
        </w:rPr>
      </w:pPr>
      <w:r>
        <w:rPr>
          <w:color w:val="auto"/>
          <w:sz w:val="24"/>
          <w:szCs w:val="32"/>
        </w:rPr>
        <w:t>烘干废气</w:t>
      </w:r>
      <w:r>
        <w:rPr>
          <w:color w:val="auto"/>
          <w:sz w:val="24"/>
        </w:rPr>
        <w:t>通过引风机（风量</w:t>
      </w:r>
      <w:r>
        <w:rPr>
          <w:rFonts w:hint="eastAsia"/>
          <w:color w:val="auto"/>
          <w:sz w:val="24"/>
        </w:rPr>
        <w:t>10</w:t>
      </w:r>
      <w:r>
        <w:rPr>
          <w:color w:val="auto"/>
          <w:sz w:val="24"/>
        </w:rPr>
        <w:t>000m</w:t>
      </w:r>
      <w:r>
        <w:rPr>
          <w:color w:val="auto"/>
          <w:sz w:val="24"/>
          <w:vertAlign w:val="superscript"/>
        </w:rPr>
        <w:t>3</w:t>
      </w:r>
      <w:r>
        <w:rPr>
          <w:color w:val="auto"/>
          <w:sz w:val="24"/>
        </w:rPr>
        <w:t>/h）引入袋式除尘器除尘处理后，除尘器效率按照99%计，再引入排气筒DA00</w:t>
      </w:r>
      <w:r>
        <w:rPr>
          <w:rFonts w:hint="eastAsia"/>
          <w:color w:val="auto"/>
          <w:sz w:val="24"/>
        </w:rPr>
        <w:t>2</w:t>
      </w:r>
      <w:r>
        <w:rPr>
          <w:color w:val="auto"/>
          <w:sz w:val="24"/>
        </w:rPr>
        <w:t>与沥青烟气一同外排。</w:t>
      </w:r>
    </w:p>
    <w:p>
      <w:pPr>
        <w:pStyle w:val="2"/>
        <w:spacing w:after="0"/>
        <w:ind w:firstLine="482"/>
        <w:rPr>
          <w:b/>
          <w:bCs/>
          <w:color w:val="auto"/>
          <w:sz w:val="24"/>
        </w:rPr>
      </w:pPr>
      <w:r>
        <w:rPr>
          <w:rFonts w:hint="eastAsia"/>
          <w:b/>
          <w:bCs/>
          <w:color w:val="auto"/>
          <w:sz w:val="24"/>
        </w:rPr>
        <w:t>（4）综合废气排放情况</w:t>
      </w:r>
    </w:p>
    <w:p>
      <w:pPr>
        <w:pStyle w:val="2"/>
        <w:ind w:firstLine="480"/>
        <w:rPr>
          <w:color w:val="auto"/>
          <w:sz w:val="24"/>
        </w:rPr>
      </w:pPr>
      <w:r>
        <w:rPr>
          <w:rFonts w:hint="eastAsia"/>
          <w:color w:val="auto"/>
          <w:sz w:val="24"/>
        </w:rPr>
        <w:t>项目</w:t>
      </w:r>
      <w:r>
        <w:rPr>
          <w:rFonts w:hint="eastAsia" w:asciiTheme="minorEastAsia" w:hAnsiTheme="minorEastAsia" w:eastAsiaTheme="minorEastAsia" w:cstheme="minorEastAsia"/>
          <w:color w:val="auto"/>
          <w:sz w:val="24"/>
        </w:rPr>
        <w:t>沥青加热、拌合过程中产生的废气经过电捕焦油器+活性炭吸附处理，烘干废气经过袋式除尘器处理后一同通过</w:t>
      </w:r>
      <w:r>
        <w:rPr>
          <w:rFonts w:hint="eastAsia"/>
          <w:color w:val="auto"/>
          <w:sz w:val="24"/>
        </w:rPr>
        <w:t>排气筒DA002排放，DA002排气筒废气排放情况如下表2-6所示。</w:t>
      </w:r>
    </w:p>
    <w:p>
      <w:pPr>
        <w:ind w:firstLine="482"/>
        <w:jc w:val="center"/>
        <w:rPr>
          <w:b/>
          <w:bCs/>
          <w:color w:val="auto"/>
        </w:rPr>
      </w:pPr>
      <w:r>
        <w:rPr>
          <w:b/>
          <w:bCs/>
          <w:color w:val="auto"/>
        </w:rPr>
        <w:t>表</w:t>
      </w:r>
      <w:r>
        <w:rPr>
          <w:rFonts w:hint="eastAsia"/>
          <w:b/>
          <w:bCs/>
          <w:color w:val="auto"/>
        </w:rPr>
        <w:t>2-6</w:t>
      </w:r>
      <w:r>
        <w:rPr>
          <w:b/>
          <w:bCs/>
          <w:color w:val="auto"/>
        </w:rPr>
        <w:t xml:space="preserve"> </w:t>
      </w:r>
      <w:r>
        <w:rPr>
          <w:rFonts w:hint="eastAsia"/>
          <w:b/>
          <w:bCs/>
          <w:color w:val="auto"/>
        </w:rPr>
        <w:t xml:space="preserve">  DA002排气筒废气</w:t>
      </w:r>
      <w:r>
        <w:rPr>
          <w:b/>
          <w:bCs/>
          <w:color w:val="auto"/>
        </w:rPr>
        <w:t>排放一览表</w:t>
      </w:r>
    </w:p>
    <w:tbl>
      <w:tblPr>
        <w:tblStyle w:val="31"/>
        <w:tblW w:w="4994" w:type="pct"/>
        <w:tblInd w:w="0" w:type="dxa"/>
        <w:tblLayout w:type="autofit"/>
        <w:tblCellMar>
          <w:top w:w="0" w:type="dxa"/>
          <w:left w:w="108" w:type="dxa"/>
          <w:bottom w:w="0" w:type="dxa"/>
          <w:right w:w="108" w:type="dxa"/>
        </w:tblCellMar>
      </w:tblPr>
      <w:tblGrid>
        <w:gridCol w:w="1592"/>
        <w:gridCol w:w="1858"/>
        <w:gridCol w:w="1540"/>
        <w:gridCol w:w="1238"/>
        <w:gridCol w:w="1185"/>
        <w:gridCol w:w="1099"/>
      </w:tblGrid>
      <w:tr>
        <w:tblPrEx>
          <w:tblCellMar>
            <w:top w:w="0" w:type="dxa"/>
            <w:left w:w="108" w:type="dxa"/>
            <w:bottom w:w="0" w:type="dxa"/>
            <w:right w:w="108" w:type="dxa"/>
          </w:tblCellMar>
        </w:tblPrEx>
        <w:trPr>
          <w:trHeight w:val="473" w:hRule="atLeast"/>
        </w:trPr>
        <w:tc>
          <w:tcPr>
            <w:tcW w:w="943" w:type="pct"/>
            <w:tcBorders>
              <w:top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工序</w:t>
            </w:r>
          </w:p>
        </w:tc>
        <w:tc>
          <w:tcPr>
            <w:tcW w:w="2011" w:type="pct"/>
            <w:gridSpan w:val="2"/>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asciiTheme="minorEastAsia" w:hAnsiTheme="minorEastAsia" w:eastAsiaTheme="minorEastAsia" w:cstheme="minorEastAsia"/>
                <w:color w:val="auto"/>
                <w:sz w:val="21"/>
                <w:szCs w:val="21"/>
              </w:rPr>
              <w:t>沥青加热、拌合</w:t>
            </w:r>
          </w:p>
        </w:tc>
        <w:tc>
          <w:tcPr>
            <w:tcW w:w="2044" w:type="pct"/>
            <w:gridSpan w:val="3"/>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骨料烘干</w:t>
            </w:r>
          </w:p>
        </w:tc>
      </w:tr>
      <w:tr>
        <w:tblPrEx>
          <w:tblCellMar>
            <w:top w:w="0" w:type="dxa"/>
            <w:left w:w="108" w:type="dxa"/>
            <w:bottom w:w="0" w:type="dxa"/>
            <w:right w:w="108" w:type="dxa"/>
          </w:tblCellMar>
        </w:tblPrEx>
        <w:trPr>
          <w:trHeight w:val="473" w:hRule="atLeast"/>
        </w:trPr>
        <w:tc>
          <w:tcPr>
            <w:tcW w:w="943" w:type="pct"/>
            <w:tcBorders>
              <w:top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污染因子</w:t>
            </w:r>
          </w:p>
        </w:tc>
        <w:tc>
          <w:tcPr>
            <w:tcW w:w="1099" w:type="pct"/>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苯并[a]芘</w:t>
            </w:r>
          </w:p>
        </w:tc>
        <w:tc>
          <w:tcPr>
            <w:tcW w:w="912" w:type="pct"/>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沥青烟</w:t>
            </w:r>
          </w:p>
        </w:tc>
        <w:tc>
          <w:tcPr>
            <w:tcW w:w="734" w:type="pct"/>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二氧化硫</w:t>
            </w:r>
          </w:p>
        </w:tc>
        <w:tc>
          <w:tcPr>
            <w:tcW w:w="703" w:type="pct"/>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氮氧化物</w:t>
            </w:r>
          </w:p>
        </w:tc>
        <w:tc>
          <w:tcPr>
            <w:tcW w:w="606" w:type="pct"/>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粉尘</w:t>
            </w:r>
          </w:p>
        </w:tc>
      </w:tr>
      <w:tr>
        <w:tblPrEx>
          <w:tblCellMar>
            <w:top w:w="0" w:type="dxa"/>
            <w:left w:w="108" w:type="dxa"/>
            <w:bottom w:w="0" w:type="dxa"/>
            <w:right w:w="108" w:type="dxa"/>
          </w:tblCellMar>
        </w:tblPrEx>
        <w:trPr>
          <w:trHeight w:val="548" w:hRule="atLeast"/>
        </w:trPr>
        <w:tc>
          <w:tcPr>
            <w:tcW w:w="943" w:type="pct"/>
            <w:tcBorders>
              <w:top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产生量</w:t>
            </w:r>
          </w:p>
        </w:tc>
        <w:tc>
          <w:tcPr>
            <w:tcW w:w="1099" w:type="pct"/>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0.0002t/a</w:t>
            </w:r>
          </w:p>
        </w:tc>
        <w:tc>
          <w:tcPr>
            <w:tcW w:w="912" w:type="pct"/>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0.076t/a</w:t>
            </w:r>
          </w:p>
        </w:tc>
        <w:tc>
          <w:tcPr>
            <w:tcW w:w="734" w:type="pct"/>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0.456t/a</w:t>
            </w:r>
          </w:p>
        </w:tc>
        <w:tc>
          <w:tcPr>
            <w:tcW w:w="703" w:type="pct"/>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0.432t/a</w:t>
            </w:r>
          </w:p>
        </w:tc>
        <w:tc>
          <w:tcPr>
            <w:tcW w:w="606" w:type="pct"/>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3.294t/a</w:t>
            </w:r>
          </w:p>
        </w:tc>
      </w:tr>
      <w:tr>
        <w:tblPrEx>
          <w:tblCellMar>
            <w:top w:w="0" w:type="dxa"/>
            <w:left w:w="108" w:type="dxa"/>
            <w:bottom w:w="0" w:type="dxa"/>
            <w:right w:w="108" w:type="dxa"/>
          </w:tblCellMar>
        </w:tblPrEx>
        <w:trPr>
          <w:trHeight w:val="548" w:hRule="atLeast"/>
        </w:trPr>
        <w:tc>
          <w:tcPr>
            <w:tcW w:w="943" w:type="pct"/>
            <w:tcBorders>
              <w:top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处理方式</w:t>
            </w:r>
          </w:p>
        </w:tc>
        <w:tc>
          <w:tcPr>
            <w:tcW w:w="2011" w:type="pct"/>
            <w:gridSpan w:val="2"/>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color w:val="auto"/>
                <w:sz w:val="21"/>
                <w:szCs w:val="21"/>
              </w:rPr>
              <w:t>沥青加热、拌合采用全封闭式，沥青罐及拌合站沥青烟负压收集后进入经负压抽风引至电捕焦油器+活性炭吸附（效率90%）后，引排气筒入DA002排放</w:t>
            </w:r>
          </w:p>
        </w:tc>
        <w:tc>
          <w:tcPr>
            <w:tcW w:w="2044" w:type="pct"/>
            <w:gridSpan w:val="3"/>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使用超低氮燃烧器，废气通过袋式除尘器（效率99%）处理后，引排气筒入DA002排放</w:t>
            </w:r>
          </w:p>
        </w:tc>
      </w:tr>
      <w:tr>
        <w:tblPrEx>
          <w:tblCellMar>
            <w:top w:w="0" w:type="dxa"/>
            <w:left w:w="108" w:type="dxa"/>
            <w:bottom w:w="0" w:type="dxa"/>
            <w:right w:w="108" w:type="dxa"/>
          </w:tblCellMar>
        </w:tblPrEx>
        <w:trPr>
          <w:trHeight w:val="548" w:hRule="atLeast"/>
        </w:trPr>
        <w:tc>
          <w:tcPr>
            <w:tcW w:w="943" w:type="pct"/>
            <w:tcBorders>
              <w:top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排放量</w:t>
            </w:r>
          </w:p>
        </w:tc>
        <w:tc>
          <w:tcPr>
            <w:tcW w:w="1099" w:type="pct"/>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0.00002t/a</w:t>
            </w:r>
          </w:p>
        </w:tc>
        <w:tc>
          <w:tcPr>
            <w:tcW w:w="912" w:type="pct"/>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0.008t/a</w:t>
            </w:r>
          </w:p>
        </w:tc>
        <w:tc>
          <w:tcPr>
            <w:tcW w:w="734" w:type="pct"/>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0.456t/a</w:t>
            </w:r>
          </w:p>
        </w:tc>
        <w:tc>
          <w:tcPr>
            <w:tcW w:w="703" w:type="pct"/>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0.432t/a</w:t>
            </w:r>
          </w:p>
        </w:tc>
        <w:tc>
          <w:tcPr>
            <w:tcW w:w="606" w:type="pct"/>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0.033t/a</w:t>
            </w:r>
          </w:p>
        </w:tc>
      </w:tr>
      <w:tr>
        <w:tblPrEx>
          <w:tblCellMar>
            <w:top w:w="0" w:type="dxa"/>
            <w:left w:w="108" w:type="dxa"/>
            <w:bottom w:w="0" w:type="dxa"/>
            <w:right w:w="108" w:type="dxa"/>
          </w:tblCellMar>
        </w:tblPrEx>
        <w:trPr>
          <w:trHeight w:val="548" w:hRule="atLeast"/>
        </w:trPr>
        <w:tc>
          <w:tcPr>
            <w:tcW w:w="943" w:type="pct"/>
            <w:tcBorders>
              <w:top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排放速率kg/h</w:t>
            </w:r>
          </w:p>
        </w:tc>
        <w:tc>
          <w:tcPr>
            <w:tcW w:w="1099" w:type="pct"/>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0.0000007</w:t>
            </w:r>
          </w:p>
        </w:tc>
        <w:tc>
          <w:tcPr>
            <w:tcW w:w="912" w:type="pct"/>
            <w:tcBorders>
              <w:top w:val="single" w:color="000000" w:sz="4" w:space="0"/>
              <w:left w:val="single" w:color="000000" w:sz="4" w:space="0"/>
              <w:bottom w:val="single" w:color="000000" w:sz="4"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w:t>
            </w:r>
            <w:r>
              <w:rPr>
                <w:rFonts w:hint="eastAsia"/>
                <w:color w:val="auto"/>
                <w:kern w:val="0"/>
                <w:sz w:val="21"/>
                <w:szCs w:val="21"/>
                <w:lang w:bidi="ar"/>
              </w:rPr>
              <w:t>0</w:t>
            </w:r>
            <w:r>
              <w:rPr>
                <w:color w:val="auto"/>
                <w:kern w:val="0"/>
                <w:sz w:val="21"/>
                <w:szCs w:val="21"/>
                <w:lang w:bidi="ar"/>
              </w:rPr>
              <w:t>2</w:t>
            </w:r>
            <w:r>
              <w:rPr>
                <w:rFonts w:hint="eastAsia"/>
                <w:color w:val="auto"/>
                <w:kern w:val="0"/>
                <w:sz w:val="21"/>
                <w:szCs w:val="21"/>
                <w:lang w:bidi="ar"/>
              </w:rPr>
              <w:t>8</w:t>
            </w:r>
          </w:p>
        </w:tc>
        <w:tc>
          <w:tcPr>
            <w:tcW w:w="734" w:type="pct"/>
            <w:tcBorders>
              <w:top w:val="single" w:color="000000" w:sz="4" w:space="0"/>
              <w:left w:val="single" w:color="000000" w:sz="4" w:space="0"/>
              <w:bottom w:val="single" w:color="000000" w:sz="4" w:space="0"/>
            </w:tcBorders>
            <w:vAlign w:val="center"/>
          </w:tcPr>
          <w:p>
            <w:pPr>
              <w:widowControl/>
              <w:ind w:firstLine="0" w:firstLineChars="0"/>
              <w:jc w:val="center"/>
              <w:textAlignment w:val="center"/>
              <w:rPr>
                <w:color w:val="auto"/>
                <w:sz w:val="21"/>
                <w:szCs w:val="21"/>
              </w:rPr>
            </w:pPr>
            <w:r>
              <w:rPr>
                <w:rFonts w:hint="eastAsia"/>
                <w:color w:val="auto"/>
                <w:kern w:val="0"/>
                <w:sz w:val="21"/>
                <w:szCs w:val="21"/>
                <w:lang w:bidi="ar"/>
              </w:rPr>
              <w:t>0.158</w:t>
            </w:r>
          </w:p>
        </w:tc>
        <w:tc>
          <w:tcPr>
            <w:tcW w:w="703" w:type="pct"/>
            <w:tcBorders>
              <w:top w:val="single" w:color="000000" w:sz="4" w:space="0"/>
              <w:left w:val="single" w:color="000000" w:sz="4" w:space="0"/>
              <w:bottom w:val="single" w:color="000000" w:sz="4" w:space="0"/>
            </w:tcBorders>
            <w:vAlign w:val="center"/>
          </w:tcPr>
          <w:p>
            <w:pPr>
              <w:widowControl/>
              <w:ind w:firstLine="0" w:firstLineChars="0"/>
              <w:jc w:val="center"/>
              <w:textAlignment w:val="center"/>
              <w:rPr>
                <w:color w:val="auto"/>
                <w:sz w:val="21"/>
                <w:szCs w:val="21"/>
              </w:rPr>
            </w:pPr>
            <w:r>
              <w:rPr>
                <w:rFonts w:hint="eastAsia"/>
                <w:color w:val="auto"/>
                <w:kern w:val="0"/>
                <w:sz w:val="21"/>
                <w:szCs w:val="21"/>
                <w:lang w:bidi="ar"/>
              </w:rPr>
              <w:t>0.15</w:t>
            </w:r>
          </w:p>
        </w:tc>
        <w:tc>
          <w:tcPr>
            <w:tcW w:w="606" w:type="pct"/>
            <w:tcBorders>
              <w:top w:val="single" w:color="000000" w:sz="4" w:space="0"/>
              <w:left w:val="single" w:color="000000" w:sz="4" w:space="0"/>
              <w:bottom w:val="single" w:color="000000" w:sz="4"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w:t>
            </w:r>
            <w:r>
              <w:rPr>
                <w:rFonts w:hint="eastAsia"/>
                <w:color w:val="auto"/>
                <w:kern w:val="0"/>
                <w:sz w:val="21"/>
                <w:szCs w:val="21"/>
                <w:lang w:bidi="ar"/>
              </w:rPr>
              <w:t>11</w:t>
            </w:r>
          </w:p>
        </w:tc>
      </w:tr>
      <w:tr>
        <w:tblPrEx>
          <w:tblCellMar>
            <w:top w:w="0" w:type="dxa"/>
            <w:left w:w="108" w:type="dxa"/>
            <w:bottom w:w="0" w:type="dxa"/>
            <w:right w:w="108" w:type="dxa"/>
          </w:tblCellMar>
        </w:tblPrEx>
        <w:trPr>
          <w:trHeight w:val="548" w:hRule="atLeast"/>
        </w:trPr>
        <w:tc>
          <w:tcPr>
            <w:tcW w:w="943" w:type="pct"/>
            <w:tcBorders>
              <w:top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废气量</w:t>
            </w:r>
          </w:p>
        </w:tc>
        <w:tc>
          <w:tcPr>
            <w:tcW w:w="4056" w:type="pct"/>
            <w:gridSpan w:val="5"/>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废气由沥青烟气和烘干废气组成，则排气量为4000</w:t>
            </w:r>
            <w:r>
              <w:rPr>
                <w:color w:val="auto"/>
                <w:sz w:val="21"/>
                <w:szCs w:val="21"/>
              </w:rPr>
              <w:t>m</w:t>
            </w:r>
            <w:r>
              <w:rPr>
                <w:color w:val="auto"/>
                <w:sz w:val="21"/>
                <w:szCs w:val="21"/>
                <w:vertAlign w:val="superscript"/>
              </w:rPr>
              <w:t>3</w:t>
            </w:r>
            <w:r>
              <w:rPr>
                <w:color w:val="auto"/>
                <w:sz w:val="21"/>
                <w:szCs w:val="21"/>
              </w:rPr>
              <w:t>/</w:t>
            </w:r>
            <w:r>
              <w:rPr>
                <w:rFonts w:hint="eastAsia"/>
                <w:color w:val="auto"/>
                <w:sz w:val="21"/>
                <w:szCs w:val="21"/>
              </w:rPr>
              <w:t>h</w:t>
            </w:r>
          </w:p>
        </w:tc>
      </w:tr>
      <w:tr>
        <w:tblPrEx>
          <w:tblCellMar>
            <w:top w:w="0" w:type="dxa"/>
            <w:left w:w="108" w:type="dxa"/>
            <w:bottom w:w="0" w:type="dxa"/>
            <w:right w:w="108" w:type="dxa"/>
          </w:tblCellMar>
        </w:tblPrEx>
        <w:trPr>
          <w:trHeight w:val="548" w:hRule="atLeast"/>
        </w:trPr>
        <w:tc>
          <w:tcPr>
            <w:tcW w:w="943" w:type="pct"/>
            <w:tcBorders>
              <w:top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排放浓度（mg/m³）</w:t>
            </w:r>
          </w:p>
        </w:tc>
        <w:tc>
          <w:tcPr>
            <w:tcW w:w="1099" w:type="pct"/>
            <w:tcBorders>
              <w:top w:val="single" w:color="000000" w:sz="4" w:space="0"/>
              <w:left w:val="single" w:color="000000" w:sz="4" w:space="0"/>
              <w:bottom w:val="single" w:color="000000" w:sz="4"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0.000175</w:t>
            </w:r>
          </w:p>
        </w:tc>
        <w:tc>
          <w:tcPr>
            <w:tcW w:w="912" w:type="pct"/>
            <w:tcBorders>
              <w:top w:val="single" w:color="000000" w:sz="4" w:space="0"/>
              <w:left w:val="single" w:color="000000" w:sz="4" w:space="0"/>
              <w:bottom w:val="single" w:color="000000" w:sz="4" w:space="0"/>
            </w:tcBorders>
            <w:vAlign w:val="center"/>
          </w:tcPr>
          <w:p>
            <w:pPr>
              <w:widowControl/>
              <w:ind w:firstLine="0" w:firstLineChars="0"/>
              <w:jc w:val="center"/>
              <w:textAlignment w:val="center"/>
              <w:rPr>
                <w:color w:val="auto"/>
                <w:sz w:val="21"/>
                <w:szCs w:val="21"/>
              </w:rPr>
            </w:pPr>
            <w:r>
              <w:rPr>
                <w:color w:val="auto"/>
                <w:kern w:val="0"/>
                <w:sz w:val="21"/>
                <w:szCs w:val="21"/>
                <w:lang w:bidi="ar"/>
              </w:rPr>
              <w:t>0.7</w:t>
            </w:r>
          </w:p>
        </w:tc>
        <w:tc>
          <w:tcPr>
            <w:tcW w:w="734" w:type="pct"/>
            <w:tcBorders>
              <w:top w:val="single" w:color="000000" w:sz="4" w:space="0"/>
              <w:left w:val="single" w:color="000000" w:sz="4" w:space="0"/>
              <w:bottom w:val="single" w:color="000000" w:sz="4" w:space="0"/>
            </w:tcBorders>
            <w:vAlign w:val="center"/>
          </w:tcPr>
          <w:p>
            <w:pPr>
              <w:widowControl/>
              <w:ind w:firstLine="0" w:firstLineChars="0"/>
              <w:jc w:val="center"/>
              <w:textAlignment w:val="center"/>
              <w:rPr>
                <w:color w:val="auto"/>
                <w:sz w:val="21"/>
                <w:szCs w:val="21"/>
              </w:rPr>
            </w:pPr>
            <w:r>
              <w:rPr>
                <w:color w:val="auto"/>
                <w:kern w:val="0"/>
                <w:sz w:val="21"/>
                <w:szCs w:val="21"/>
                <w:lang w:bidi="ar"/>
              </w:rPr>
              <w:t>39.5</w:t>
            </w:r>
          </w:p>
        </w:tc>
        <w:tc>
          <w:tcPr>
            <w:tcW w:w="703" w:type="pct"/>
            <w:tcBorders>
              <w:top w:val="single" w:color="000000" w:sz="4" w:space="0"/>
              <w:left w:val="single" w:color="000000" w:sz="4" w:space="0"/>
              <w:bottom w:val="single" w:color="000000" w:sz="4" w:space="0"/>
            </w:tcBorders>
            <w:vAlign w:val="center"/>
          </w:tcPr>
          <w:p>
            <w:pPr>
              <w:widowControl/>
              <w:ind w:firstLine="0" w:firstLineChars="0"/>
              <w:jc w:val="center"/>
              <w:textAlignment w:val="center"/>
              <w:rPr>
                <w:color w:val="auto"/>
                <w:sz w:val="21"/>
                <w:szCs w:val="21"/>
              </w:rPr>
            </w:pPr>
            <w:r>
              <w:rPr>
                <w:color w:val="auto"/>
                <w:kern w:val="0"/>
                <w:sz w:val="21"/>
                <w:szCs w:val="21"/>
                <w:lang w:bidi="ar"/>
              </w:rPr>
              <w:t>37.5</w:t>
            </w:r>
          </w:p>
        </w:tc>
        <w:tc>
          <w:tcPr>
            <w:tcW w:w="606" w:type="pct"/>
            <w:tcBorders>
              <w:top w:val="single" w:color="000000" w:sz="4" w:space="0"/>
              <w:left w:val="single" w:color="000000" w:sz="4" w:space="0"/>
              <w:bottom w:val="single" w:color="000000" w:sz="4" w:space="0"/>
            </w:tcBorders>
            <w:vAlign w:val="center"/>
          </w:tcPr>
          <w:p>
            <w:pPr>
              <w:widowControl/>
              <w:ind w:firstLine="0" w:firstLineChars="0"/>
              <w:jc w:val="center"/>
              <w:textAlignment w:val="center"/>
              <w:rPr>
                <w:color w:val="auto"/>
                <w:sz w:val="21"/>
                <w:szCs w:val="21"/>
              </w:rPr>
            </w:pPr>
            <w:r>
              <w:rPr>
                <w:color w:val="auto"/>
                <w:kern w:val="0"/>
                <w:sz w:val="21"/>
                <w:szCs w:val="21"/>
                <w:lang w:bidi="ar"/>
              </w:rPr>
              <w:t>2.75</w:t>
            </w:r>
          </w:p>
        </w:tc>
      </w:tr>
      <w:tr>
        <w:tblPrEx>
          <w:tblCellMar>
            <w:top w:w="0" w:type="dxa"/>
            <w:left w:w="108" w:type="dxa"/>
            <w:bottom w:w="0" w:type="dxa"/>
            <w:right w:w="108" w:type="dxa"/>
          </w:tblCellMar>
        </w:tblPrEx>
        <w:trPr>
          <w:trHeight w:val="548" w:hRule="atLeast"/>
        </w:trPr>
        <w:tc>
          <w:tcPr>
            <w:tcW w:w="943" w:type="pct"/>
            <w:tcBorders>
              <w:top w:val="single" w:color="000000" w:sz="4" w:space="0"/>
              <w:bottom w:val="single" w:color="000000" w:sz="4" w:space="0"/>
            </w:tcBorders>
            <w:vAlign w:val="center"/>
          </w:tcPr>
          <w:p>
            <w:pPr>
              <w:ind w:firstLine="0" w:firstLineChars="0"/>
              <w:jc w:val="center"/>
              <w:rPr>
                <w:color w:val="auto"/>
                <w:sz w:val="21"/>
                <w:szCs w:val="21"/>
              </w:rPr>
            </w:pPr>
            <w:r>
              <w:rPr>
                <w:color w:val="auto"/>
                <w:sz w:val="21"/>
                <w:szCs w:val="21"/>
              </w:rPr>
              <w:t>执行标准</w:t>
            </w:r>
          </w:p>
        </w:tc>
        <w:tc>
          <w:tcPr>
            <w:tcW w:w="4056" w:type="pct"/>
            <w:gridSpan w:val="5"/>
            <w:tcBorders>
              <w:top w:val="single" w:color="000000" w:sz="4" w:space="0"/>
              <w:left w:val="single" w:color="000000" w:sz="4" w:space="0"/>
              <w:bottom w:val="single" w:color="000000" w:sz="4" w:space="0"/>
            </w:tcBorders>
            <w:vAlign w:val="center"/>
          </w:tcPr>
          <w:p>
            <w:pPr>
              <w:ind w:firstLine="0" w:firstLineChars="0"/>
              <w:jc w:val="center"/>
              <w:rPr>
                <w:color w:val="auto"/>
                <w:sz w:val="21"/>
                <w:szCs w:val="21"/>
              </w:rPr>
            </w:pPr>
            <w:r>
              <w:rPr>
                <w:color w:val="auto"/>
                <w:sz w:val="21"/>
                <w:szCs w:val="21"/>
              </w:rPr>
              <w:t>《大气污染物综合排放标准》（GB16297-1996）新污染源二级标准的要求</w:t>
            </w:r>
          </w:p>
        </w:tc>
      </w:tr>
      <w:tr>
        <w:tblPrEx>
          <w:tblCellMar>
            <w:top w:w="0" w:type="dxa"/>
            <w:left w:w="108" w:type="dxa"/>
            <w:bottom w:w="0" w:type="dxa"/>
            <w:right w:w="108" w:type="dxa"/>
          </w:tblCellMar>
        </w:tblPrEx>
        <w:trPr>
          <w:trHeight w:val="548" w:hRule="atLeast"/>
        </w:trPr>
        <w:tc>
          <w:tcPr>
            <w:tcW w:w="5000" w:type="pct"/>
            <w:gridSpan w:val="6"/>
            <w:tcBorders>
              <w:top w:val="single" w:color="000000" w:sz="4" w:space="0"/>
              <w:bottom w:val="single" w:color="000000" w:sz="4" w:space="0"/>
            </w:tcBorders>
            <w:vAlign w:val="center"/>
          </w:tcPr>
          <w:p>
            <w:pPr>
              <w:ind w:firstLine="0" w:firstLineChars="0"/>
              <w:jc w:val="center"/>
              <w:rPr>
                <w:color w:val="auto"/>
                <w:sz w:val="21"/>
                <w:szCs w:val="21"/>
              </w:rPr>
            </w:pPr>
            <w:r>
              <w:rPr>
                <w:rFonts w:hint="eastAsia"/>
                <w:color w:val="auto"/>
                <w:sz w:val="21"/>
                <w:szCs w:val="21"/>
              </w:rPr>
              <w:t>排放口基本情况</w:t>
            </w:r>
          </w:p>
        </w:tc>
      </w:tr>
      <w:tr>
        <w:tblPrEx>
          <w:tblCellMar>
            <w:top w:w="0" w:type="dxa"/>
            <w:left w:w="108" w:type="dxa"/>
            <w:bottom w:w="0" w:type="dxa"/>
            <w:right w:w="108" w:type="dxa"/>
          </w:tblCellMar>
        </w:tblPrEx>
        <w:trPr>
          <w:trHeight w:val="548" w:hRule="atLeast"/>
        </w:trPr>
        <w:tc>
          <w:tcPr>
            <w:tcW w:w="943" w:type="pct"/>
            <w:tcBorders>
              <w:top w:val="single" w:color="000000" w:sz="4" w:space="0"/>
              <w:bottom w:val="single" w:color="000000" w:sz="4" w:space="0"/>
            </w:tcBorders>
            <w:vAlign w:val="center"/>
          </w:tcPr>
          <w:p>
            <w:pPr>
              <w:adjustRightInd w:val="0"/>
              <w:snapToGrid w:val="0"/>
              <w:ind w:firstLine="0" w:firstLineChars="0"/>
              <w:jc w:val="center"/>
              <w:rPr>
                <w:color w:val="auto"/>
                <w:sz w:val="21"/>
                <w:szCs w:val="21"/>
              </w:rPr>
            </w:pPr>
            <w:r>
              <w:rPr>
                <w:color w:val="auto"/>
                <w:sz w:val="21"/>
                <w:szCs w:val="21"/>
              </w:rPr>
              <w:t>排气筒高度</w:t>
            </w:r>
          </w:p>
        </w:tc>
        <w:tc>
          <w:tcPr>
            <w:tcW w:w="4056" w:type="pct"/>
            <w:gridSpan w:val="5"/>
            <w:tcBorders>
              <w:top w:val="single" w:color="000000" w:sz="4" w:space="0"/>
              <w:left w:val="single" w:color="000000" w:sz="4" w:space="0"/>
              <w:bottom w:val="single" w:color="000000" w:sz="4" w:space="0"/>
            </w:tcBorders>
            <w:vAlign w:val="center"/>
          </w:tcPr>
          <w:p>
            <w:pPr>
              <w:adjustRightInd w:val="0"/>
              <w:snapToGrid w:val="0"/>
              <w:ind w:firstLine="0" w:firstLineChars="0"/>
              <w:jc w:val="center"/>
              <w:rPr>
                <w:color w:val="auto"/>
                <w:sz w:val="21"/>
                <w:szCs w:val="21"/>
              </w:rPr>
            </w:pPr>
            <w:r>
              <w:rPr>
                <w:color w:val="auto"/>
                <w:sz w:val="21"/>
                <w:szCs w:val="21"/>
              </w:rPr>
              <w:t>15m</w:t>
            </w:r>
          </w:p>
        </w:tc>
      </w:tr>
      <w:tr>
        <w:tblPrEx>
          <w:tblCellMar>
            <w:top w:w="0" w:type="dxa"/>
            <w:left w:w="108" w:type="dxa"/>
            <w:bottom w:w="0" w:type="dxa"/>
            <w:right w:w="108" w:type="dxa"/>
          </w:tblCellMar>
        </w:tblPrEx>
        <w:trPr>
          <w:trHeight w:val="548" w:hRule="atLeast"/>
        </w:trPr>
        <w:tc>
          <w:tcPr>
            <w:tcW w:w="943" w:type="pct"/>
            <w:tcBorders>
              <w:top w:val="single" w:color="000000" w:sz="4" w:space="0"/>
              <w:bottom w:val="single" w:color="000000" w:sz="4" w:space="0"/>
            </w:tcBorders>
            <w:vAlign w:val="center"/>
          </w:tcPr>
          <w:p>
            <w:pPr>
              <w:adjustRightInd w:val="0"/>
              <w:snapToGrid w:val="0"/>
              <w:ind w:firstLine="0" w:firstLineChars="0"/>
              <w:jc w:val="center"/>
              <w:rPr>
                <w:color w:val="auto"/>
                <w:sz w:val="21"/>
                <w:szCs w:val="21"/>
              </w:rPr>
            </w:pPr>
            <w:r>
              <w:rPr>
                <w:color w:val="auto"/>
                <w:sz w:val="21"/>
                <w:szCs w:val="21"/>
              </w:rPr>
              <w:t>排气筒内径</w:t>
            </w:r>
          </w:p>
        </w:tc>
        <w:tc>
          <w:tcPr>
            <w:tcW w:w="4056" w:type="pct"/>
            <w:gridSpan w:val="5"/>
            <w:tcBorders>
              <w:top w:val="single" w:color="000000" w:sz="4" w:space="0"/>
              <w:left w:val="single" w:color="000000" w:sz="4" w:space="0"/>
              <w:bottom w:val="single" w:color="000000" w:sz="4" w:space="0"/>
            </w:tcBorders>
            <w:vAlign w:val="center"/>
          </w:tcPr>
          <w:p>
            <w:pPr>
              <w:adjustRightInd w:val="0"/>
              <w:snapToGrid w:val="0"/>
              <w:ind w:firstLine="0" w:firstLineChars="0"/>
              <w:jc w:val="center"/>
              <w:rPr>
                <w:color w:val="auto"/>
                <w:sz w:val="21"/>
                <w:szCs w:val="21"/>
              </w:rPr>
            </w:pPr>
            <w:r>
              <w:rPr>
                <w:color w:val="auto"/>
                <w:sz w:val="21"/>
                <w:szCs w:val="21"/>
              </w:rPr>
              <w:t>0.5</w:t>
            </w:r>
          </w:p>
        </w:tc>
      </w:tr>
      <w:tr>
        <w:tblPrEx>
          <w:tblCellMar>
            <w:top w:w="0" w:type="dxa"/>
            <w:left w:w="108" w:type="dxa"/>
            <w:bottom w:w="0" w:type="dxa"/>
            <w:right w:w="108" w:type="dxa"/>
          </w:tblCellMar>
        </w:tblPrEx>
        <w:trPr>
          <w:trHeight w:val="548" w:hRule="atLeast"/>
        </w:trPr>
        <w:tc>
          <w:tcPr>
            <w:tcW w:w="943" w:type="pct"/>
            <w:tcBorders>
              <w:top w:val="single" w:color="000000" w:sz="4" w:space="0"/>
              <w:bottom w:val="single" w:color="000000" w:sz="4" w:space="0"/>
            </w:tcBorders>
            <w:vAlign w:val="center"/>
          </w:tcPr>
          <w:p>
            <w:pPr>
              <w:adjustRightInd w:val="0"/>
              <w:snapToGrid w:val="0"/>
              <w:ind w:firstLine="0" w:firstLineChars="0"/>
              <w:jc w:val="center"/>
              <w:rPr>
                <w:color w:val="auto"/>
                <w:sz w:val="21"/>
                <w:szCs w:val="21"/>
              </w:rPr>
            </w:pPr>
            <w:r>
              <w:rPr>
                <w:color w:val="auto"/>
                <w:sz w:val="21"/>
                <w:szCs w:val="21"/>
              </w:rPr>
              <w:t>编号</w:t>
            </w:r>
          </w:p>
        </w:tc>
        <w:tc>
          <w:tcPr>
            <w:tcW w:w="4056" w:type="pct"/>
            <w:gridSpan w:val="5"/>
            <w:tcBorders>
              <w:top w:val="single" w:color="000000" w:sz="4" w:space="0"/>
              <w:left w:val="single" w:color="000000" w:sz="4" w:space="0"/>
              <w:bottom w:val="single" w:color="000000" w:sz="4" w:space="0"/>
            </w:tcBorders>
            <w:vAlign w:val="center"/>
          </w:tcPr>
          <w:p>
            <w:pPr>
              <w:adjustRightInd w:val="0"/>
              <w:snapToGrid w:val="0"/>
              <w:ind w:firstLine="0" w:firstLineChars="0"/>
              <w:jc w:val="center"/>
              <w:rPr>
                <w:color w:val="auto"/>
                <w:sz w:val="21"/>
                <w:szCs w:val="21"/>
              </w:rPr>
            </w:pPr>
            <w:r>
              <w:rPr>
                <w:color w:val="auto"/>
                <w:sz w:val="21"/>
                <w:szCs w:val="21"/>
              </w:rPr>
              <w:t>DA00</w:t>
            </w:r>
            <w:r>
              <w:rPr>
                <w:rFonts w:hint="eastAsia"/>
                <w:color w:val="auto"/>
                <w:sz w:val="21"/>
                <w:szCs w:val="21"/>
              </w:rPr>
              <w:t>2</w:t>
            </w:r>
          </w:p>
        </w:tc>
      </w:tr>
      <w:tr>
        <w:tblPrEx>
          <w:tblCellMar>
            <w:top w:w="0" w:type="dxa"/>
            <w:left w:w="108" w:type="dxa"/>
            <w:bottom w:w="0" w:type="dxa"/>
            <w:right w:w="108" w:type="dxa"/>
          </w:tblCellMar>
        </w:tblPrEx>
        <w:trPr>
          <w:trHeight w:val="548" w:hRule="atLeast"/>
        </w:trPr>
        <w:tc>
          <w:tcPr>
            <w:tcW w:w="943" w:type="pct"/>
            <w:tcBorders>
              <w:top w:val="single" w:color="000000" w:sz="4" w:space="0"/>
              <w:bottom w:val="single" w:color="000000" w:sz="4" w:space="0"/>
            </w:tcBorders>
            <w:vAlign w:val="center"/>
          </w:tcPr>
          <w:p>
            <w:pPr>
              <w:adjustRightInd w:val="0"/>
              <w:snapToGrid w:val="0"/>
              <w:ind w:firstLine="0" w:firstLineChars="0"/>
              <w:jc w:val="center"/>
              <w:rPr>
                <w:color w:val="auto"/>
                <w:sz w:val="21"/>
                <w:szCs w:val="21"/>
              </w:rPr>
            </w:pPr>
            <w:r>
              <w:rPr>
                <w:color w:val="auto"/>
                <w:sz w:val="21"/>
                <w:szCs w:val="21"/>
              </w:rPr>
              <w:t>类型</w:t>
            </w:r>
          </w:p>
        </w:tc>
        <w:tc>
          <w:tcPr>
            <w:tcW w:w="4056" w:type="pct"/>
            <w:gridSpan w:val="5"/>
            <w:tcBorders>
              <w:top w:val="single" w:color="000000" w:sz="4" w:space="0"/>
              <w:left w:val="single" w:color="000000" w:sz="4" w:space="0"/>
              <w:bottom w:val="single" w:color="000000" w:sz="4" w:space="0"/>
            </w:tcBorders>
            <w:vAlign w:val="center"/>
          </w:tcPr>
          <w:p>
            <w:pPr>
              <w:adjustRightInd w:val="0"/>
              <w:snapToGrid w:val="0"/>
              <w:ind w:firstLine="0" w:firstLineChars="0"/>
              <w:jc w:val="center"/>
              <w:rPr>
                <w:color w:val="auto"/>
                <w:sz w:val="21"/>
                <w:szCs w:val="21"/>
              </w:rPr>
            </w:pPr>
            <w:r>
              <w:rPr>
                <w:color w:val="auto"/>
                <w:sz w:val="21"/>
                <w:szCs w:val="21"/>
              </w:rPr>
              <w:t>一般排放口</w:t>
            </w:r>
          </w:p>
        </w:tc>
      </w:tr>
    </w:tbl>
    <w:p>
      <w:pPr>
        <w:pStyle w:val="5"/>
        <w:ind w:firstLine="562" w:firstLineChars="200"/>
        <w:rPr>
          <w:color w:val="auto"/>
        </w:rPr>
      </w:pPr>
      <w:r>
        <w:rPr>
          <w:rFonts w:hint="eastAsia"/>
          <w:color w:val="auto"/>
        </w:rPr>
        <w:t>2.2.3食堂油烟</w:t>
      </w:r>
    </w:p>
    <w:p>
      <w:pPr>
        <w:adjustRightInd w:val="0"/>
        <w:snapToGrid w:val="0"/>
        <w:ind w:firstLine="480"/>
        <w:rPr>
          <w:color w:val="auto"/>
        </w:rPr>
      </w:pPr>
      <w:r>
        <w:rPr>
          <w:color w:val="auto"/>
        </w:rPr>
        <w:t>项目建成后，设有食堂，食堂设有</w:t>
      </w:r>
      <w:r>
        <w:rPr>
          <w:rFonts w:hint="eastAsia"/>
          <w:color w:val="auto"/>
        </w:rPr>
        <w:t>3</w:t>
      </w:r>
      <w:r>
        <w:rPr>
          <w:color w:val="auto"/>
        </w:rPr>
        <w:t>个灶头，每日就餐人数为</w:t>
      </w:r>
      <w:r>
        <w:rPr>
          <w:rFonts w:hint="eastAsia"/>
          <w:color w:val="auto"/>
        </w:rPr>
        <w:t>40</w:t>
      </w:r>
      <w:r>
        <w:rPr>
          <w:color w:val="auto"/>
        </w:rPr>
        <w:t>人。食堂采用清洁燃料，因此食堂仅产生少量食堂油烟。按平衡膳食推荐的以每人每天食用30g食用油计，则用油量为</w:t>
      </w:r>
      <w:r>
        <w:rPr>
          <w:rFonts w:hint="eastAsia"/>
          <w:color w:val="auto"/>
        </w:rPr>
        <w:t>1200</w:t>
      </w:r>
      <w:r>
        <w:rPr>
          <w:color w:val="auto"/>
        </w:rPr>
        <w:t>g/d。油的平均挥发量为总耗油量的2.83%，经估算，本项目食堂产生油烟量</w:t>
      </w:r>
      <w:r>
        <w:rPr>
          <w:rFonts w:hint="eastAsia"/>
          <w:color w:val="auto"/>
        </w:rPr>
        <w:t>5.74</w:t>
      </w:r>
      <w:r>
        <w:rPr>
          <w:color w:val="auto"/>
        </w:rPr>
        <w:t>g/h。</w:t>
      </w:r>
      <w:r>
        <w:rPr>
          <w:rFonts w:hint="eastAsia"/>
          <w:color w:val="auto"/>
        </w:rPr>
        <w:t>项目食堂安装油烟净化器，油烟净化器</w:t>
      </w:r>
      <w:r>
        <w:rPr>
          <w:color w:val="auto"/>
        </w:rPr>
        <w:t>的风量为</w:t>
      </w:r>
      <w:r>
        <w:rPr>
          <w:rFonts w:hint="eastAsia"/>
          <w:color w:val="auto"/>
        </w:rPr>
        <w:t>12</w:t>
      </w:r>
      <w:r>
        <w:rPr>
          <w:color w:val="auto"/>
        </w:rPr>
        <w:t>00m</w:t>
      </w:r>
      <w:r>
        <w:rPr>
          <w:color w:val="auto"/>
          <w:vertAlign w:val="superscript"/>
        </w:rPr>
        <w:t>3</w:t>
      </w:r>
      <w:r>
        <w:rPr>
          <w:color w:val="auto"/>
        </w:rPr>
        <w:t>/h，油烟去除效率为</w:t>
      </w:r>
      <w:r>
        <w:rPr>
          <w:rFonts w:hint="eastAsia"/>
          <w:color w:val="auto"/>
        </w:rPr>
        <w:t>80%，</w:t>
      </w:r>
      <w:r>
        <w:rPr>
          <w:color w:val="auto"/>
        </w:rPr>
        <w:t>则食堂油烟的</w:t>
      </w:r>
      <w:r>
        <w:rPr>
          <w:rFonts w:hint="eastAsia"/>
          <w:color w:val="auto"/>
        </w:rPr>
        <w:t>排放</w:t>
      </w:r>
      <w:r>
        <w:rPr>
          <w:color w:val="auto"/>
        </w:rPr>
        <w:t>浓度为</w:t>
      </w:r>
      <w:r>
        <w:rPr>
          <w:rFonts w:hint="eastAsia"/>
          <w:color w:val="auto"/>
        </w:rPr>
        <w:t>0.9</w:t>
      </w:r>
      <w:r>
        <w:rPr>
          <w:color w:val="auto"/>
        </w:rPr>
        <w:t>mg/m</w:t>
      </w:r>
      <w:r>
        <w:rPr>
          <w:color w:val="auto"/>
          <w:vertAlign w:val="superscript"/>
        </w:rPr>
        <w:t>3</w:t>
      </w:r>
      <w:r>
        <w:rPr>
          <w:rFonts w:hint="eastAsia"/>
          <w:color w:val="auto"/>
        </w:rPr>
        <w:t>，排放量为0.002t/a，</w:t>
      </w:r>
      <w:r>
        <w:rPr>
          <w:color w:val="auto"/>
        </w:rPr>
        <w:t>食堂油烟经</w:t>
      </w:r>
      <w:r>
        <w:rPr>
          <w:color w:val="auto"/>
          <w:lang w:val="zh-CN"/>
        </w:rPr>
        <w:t>油烟净化器</w:t>
      </w:r>
      <w:r>
        <w:rPr>
          <w:color w:val="auto"/>
        </w:rPr>
        <w:t>处理后</w:t>
      </w:r>
      <w:r>
        <w:rPr>
          <w:rFonts w:hint="eastAsia"/>
          <w:color w:val="auto"/>
        </w:rPr>
        <w:t>通过烟道从食堂顶部排放，排放高度为6m，</w:t>
      </w:r>
      <w:r>
        <w:rPr>
          <w:color w:val="auto"/>
        </w:rPr>
        <w:t>满足GB18483-2001《饮食业油烟排放标准》中最高允许排放浓度≤</w:t>
      </w:r>
      <w:r>
        <w:rPr>
          <w:rFonts w:hint="eastAsia"/>
          <w:color w:val="auto"/>
        </w:rPr>
        <w:t>2</w:t>
      </w:r>
      <w:r>
        <w:rPr>
          <w:color w:val="auto"/>
        </w:rPr>
        <w:t>mg/m</w:t>
      </w:r>
      <w:r>
        <w:rPr>
          <w:color w:val="auto"/>
          <w:vertAlign w:val="superscript"/>
        </w:rPr>
        <w:t>3</w:t>
      </w:r>
      <w:r>
        <w:rPr>
          <w:color w:val="auto"/>
        </w:rPr>
        <w:t>的要求。</w:t>
      </w:r>
    </w:p>
    <w:p>
      <w:pPr>
        <w:pStyle w:val="5"/>
        <w:ind w:firstLine="562" w:firstLineChars="200"/>
        <w:rPr>
          <w:color w:val="auto"/>
        </w:rPr>
      </w:pPr>
      <w:r>
        <w:rPr>
          <w:rFonts w:hint="eastAsia"/>
          <w:color w:val="auto"/>
        </w:rPr>
        <w:t>2.2.4无组织废气</w:t>
      </w:r>
    </w:p>
    <w:p>
      <w:pPr>
        <w:pStyle w:val="2"/>
        <w:spacing w:after="0"/>
        <w:ind w:firstLine="482"/>
        <w:rPr>
          <w:b/>
          <w:bCs/>
          <w:color w:val="auto"/>
          <w:sz w:val="24"/>
        </w:rPr>
      </w:pPr>
      <w:r>
        <w:rPr>
          <w:rFonts w:hint="eastAsia"/>
          <w:b/>
          <w:bCs/>
          <w:color w:val="auto"/>
          <w:sz w:val="24"/>
        </w:rPr>
        <w:t>（1）矿粉仓粉尘</w:t>
      </w:r>
    </w:p>
    <w:p>
      <w:pPr>
        <w:ind w:firstLine="480"/>
        <w:rPr>
          <w:color w:val="auto"/>
        </w:rPr>
      </w:pPr>
      <w:r>
        <w:rPr>
          <w:rFonts w:hint="eastAsia"/>
          <w:color w:val="auto"/>
        </w:rPr>
        <w:t>项目沥青混凝土原料矿粉由散装罐车自带的气动系统将粉料吹入矿粉筒仓进行存储，同时回收粉也通过管道吹入该矿粉筒仓存储，筒仓顶部呼吸孔及仓底会产生粉尘。项目筒采用如下除尘方式：仓底采用负压吸风收尘装置，与仓顶呼吸孔共用一台脉冲式布袋除尘器处理后由仓顶排放，为无组织排放。</w:t>
      </w:r>
    </w:p>
    <w:p>
      <w:pPr>
        <w:ind w:firstLine="480"/>
        <w:rPr>
          <w:color w:val="auto"/>
        </w:rPr>
      </w:pPr>
      <w:r>
        <w:rPr>
          <w:rFonts w:hint="eastAsia"/>
          <w:color w:val="auto"/>
        </w:rPr>
        <w:t>项目矿粉消耗量约为 1200 t/a，设有1个矿粉仓，安装1台仓顶除尘器，筒仓设置仓顶排气孔，筒仓顶部排气孔自带脉冲式布袋除尘器，除尘效率可达到 99%以上。</w:t>
      </w:r>
    </w:p>
    <w:p>
      <w:pPr>
        <w:ind w:firstLine="480"/>
        <w:rPr>
          <w:color w:val="auto"/>
        </w:rPr>
      </w:pPr>
      <w:r>
        <w:rPr>
          <w:rFonts w:hint="eastAsia"/>
          <w:color w:val="auto"/>
        </w:rPr>
        <w:t>矿粉筒仓的粉尘产生参照《逸散性工业粉尘控制技术》中表 22-1 混凝土分批搅拌站场逸散尘排放因子中贮仓排气过程排放系数 0.12kg/t-卸料，则矿粉筒仓粉尘产生量为 0.144t/a，采取脉冲式布袋除尘后，排放量为0.0014t/a。</w:t>
      </w:r>
    </w:p>
    <w:p>
      <w:pPr>
        <w:pStyle w:val="6"/>
        <w:ind w:firstLine="482"/>
        <w:rPr>
          <w:color w:val="auto"/>
        </w:rPr>
      </w:pPr>
      <w:r>
        <w:rPr>
          <w:rFonts w:hint="eastAsia"/>
          <w:color w:val="auto"/>
        </w:rPr>
        <w:t>（2）上料粉尘</w:t>
      </w:r>
    </w:p>
    <w:p>
      <w:pPr>
        <w:ind w:firstLine="480"/>
        <w:rPr>
          <w:color w:val="auto"/>
        </w:rPr>
      </w:pPr>
      <w:r>
        <w:rPr>
          <w:color w:val="auto"/>
        </w:rPr>
        <w:t>参照《逸散性工业粉尘控制技术》，上料过程中粉尘产生系数为 0.0007kg/t 原料，本项目砂石料</w:t>
      </w:r>
      <w:r>
        <w:rPr>
          <w:rFonts w:hint="eastAsia"/>
          <w:color w:val="auto"/>
        </w:rPr>
        <w:t>及其他用料</w:t>
      </w:r>
      <w:r>
        <w:rPr>
          <w:color w:val="auto"/>
        </w:rPr>
        <w:t>用量约为</w:t>
      </w:r>
      <w:r>
        <w:rPr>
          <w:rFonts w:hint="eastAsia"/>
          <w:color w:val="auto"/>
        </w:rPr>
        <w:t>5</w:t>
      </w:r>
      <w:r>
        <w:rPr>
          <w:color w:val="auto"/>
        </w:rPr>
        <w:t>万t/a，则粉尘的产生量为0.</w:t>
      </w:r>
      <w:r>
        <w:rPr>
          <w:rFonts w:hint="eastAsia"/>
          <w:color w:val="auto"/>
        </w:rPr>
        <w:t>035</w:t>
      </w:r>
      <w:r>
        <w:rPr>
          <w:color w:val="auto"/>
        </w:rPr>
        <w:t>t/a。该工段粉尘经经车间换气扇当排出，无组织粉尘排放量为0.</w:t>
      </w:r>
      <w:r>
        <w:rPr>
          <w:rFonts w:hint="eastAsia"/>
          <w:color w:val="auto"/>
        </w:rPr>
        <w:t>035</w:t>
      </w:r>
      <w:r>
        <w:rPr>
          <w:color w:val="auto"/>
        </w:rPr>
        <w:t>t/a</w:t>
      </w:r>
      <w:r>
        <w:rPr>
          <w:rFonts w:hint="eastAsia"/>
          <w:color w:val="auto"/>
        </w:rPr>
        <w:t>，排放量较小。</w:t>
      </w:r>
    </w:p>
    <w:p>
      <w:pPr>
        <w:ind w:left="420" w:firstLine="0" w:firstLineChars="0"/>
        <w:rPr>
          <w:b/>
          <w:color w:val="auto"/>
        </w:rPr>
      </w:pPr>
      <w:r>
        <w:rPr>
          <w:rFonts w:hint="eastAsia"/>
          <w:b/>
          <w:color w:val="auto"/>
        </w:rPr>
        <w:t>（3）原料堆场装卸和风力起尘</w:t>
      </w:r>
    </w:p>
    <w:p>
      <w:pPr>
        <w:ind w:firstLine="480"/>
        <w:jc w:val="left"/>
        <w:rPr>
          <w:color w:val="auto"/>
        </w:rPr>
      </w:pPr>
      <w:r>
        <w:rPr>
          <w:rFonts w:hint="eastAsia" w:hAnsi="宋体"/>
          <w:color w:val="auto"/>
        </w:rPr>
        <w:t>本环评依据</w:t>
      </w:r>
      <w:r>
        <w:rPr>
          <w:rFonts w:hint="eastAsia" w:hAnsi="宋体"/>
          <w:color w:val="auto"/>
          <w:spacing w:val="-3"/>
        </w:rPr>
        <w:t>《排放源统计调查产排污核算方法和系数手册》生态环境部公告2021年第24号</w:t>
      </w:r>
      <w:r>
        <w:rPr>
          <w:rFonts w:hAnsi="宋体"/>
          <w:color w:val="auto"/>
        </w:rPr>
        <w:t>中</w:t>
      </w:r>
      <w:r>
        <w:rPr>
          <w:color w:val="auto"/>
        </w:rPr>
        <w:t>“</w:t>
      </w:r>
      <w:r>
        <w:rPr>
          <w:rFonts w:hint="eastAsia"/>
          <w:color w:val="auto"/>
        </w:rPr>
        <w:t xml:space="preserve">附表2 </w:t>
      </w:r>
      <w:r>
        <w:rPr>
          <w:rFonts w:hint="eastAsia" w:hAnsi="宋体"/>
          <w:color w:val="auto"/>
        </w:rPr>
        <w:t>工业源固体物料堆场颗粒物核算系数手册”的</w:t>
      </w:r>
      <w:r>
        <w:rPr>
          <w:rFonts w:hAnsi="宋体"/>
          <w:color w:val="auto"/>
        </w:rPr>
        <w:t>工业企业固体物料堆存颗粒物包括装卸场尘和风蚀扬尘，颗粒物产生量核算公式如下：</w:t>
      </w:r>
    </w:p>
    <w:p>
      <w:pPr>
        <w:adjustRightInd w:val="0"/>
        <w:ind w:firstLine="482"/>
        <w:jc w:val="center"/>
        <w:rPr>
          <w:rFonts w:hint="eastAsia" w:hAnsi="宋体"/>
          <w:color w:val="auto"/>
        </w:rPr>
      </w:pPr>
      <w:r>
        <w:rPr>
          <w:b/>
          <w:bCs/>
          <w:color w:val="auto"/>
        </w:rPr>
        <w:t>P=ZCy+FCy={Nc×D×</w:t>
      </w:r>
      <w:r>
        <w:rPr>
          <w:rFonts w:hAnsi="宋体"/>
          <w:b/>
          <w:bCs/>
          <w:color w:val="auto"/>
        </w:rPr>
        <w:t>（</w:t>
      </w:r>
      <w:r>
        <w:rPr>
          <w:b/>
          <w:bCs/>
          <w:color w:val="auto"/>
        </w:rPr>
        <w:t>a/b</w:t>
      </w:r>
      <w:r>
        <w:rPr>
          <w:rFonts w:hAnsi="宋体"/>
          <w:b/>
          <w:bCs/>
          <w:color w:val="auto"/>
        </w:rPr>
        <w:t>）</w:t>
      </w:r>
      <w:r>
        <w:rPr>
          <w:b/>
          <w:bCs/>
          <w:color w:val="auto"/>
        </w:rPr>
        <w:t>+2×E</w:t>
      </w:r>
      <w:r>
        <w:rPr>
          <w:b/>
          <w:bCs/>
          <w:color w:val="auto"/>
          <w:vertAlign w:val="subscript"/>
        </w:rPr>
        <w:t>f</w:t>
      </w:r>
      <w:r>
        <w:rPr>
          <w:b/>
          <w:bCs/>
          <w:color w:val="auto"/>
        </w:rPr>
        <w:t>×S}×10</w:t>
      </w:r>
      <w:r>
        <w:rPr>
          <w:b/>
          <w:bCs/>
          <w:color w:val="auto"/>
          <w:vertAlign w:val="superscript"/>
        </w:rPr>
        <w:t>-3</w:t>
      </w:r>
    </w:p>
    <w:p>
      <w:pPr>
        <w:adjustRightInd w:val="0"/>
        <w:ind w:firstLine="480"/>
        <w:rPr>
          <w:color w:val="auto"/>
        </w:rPr>
      </w:pPr>
      <w:r>
        <w:rPr>
          <w:rFonts w:hAnsi="宋体"/>
          <w:color w:val="auto"/>
        </w:rPr>
        <w:t>式中：</w:t>
      </w:r>
      <w:r>
        <w:rPr>
          <w:color w:val="auto"/>
        </w:rPr>
        <w:t xml:space="preserve">P </w:t>
      </w:r>
      <w:r>
        <w:rPr>
          <w:rFonts w:hAnsi="宋体"/>
          <w:color w:val="auto"/>
        </w:rPr>
        <w:t>指颗粒物产生量（单位：吨）；</w:t>
      </w:r>
      <w:r>
        <w:rPr>
          <w:rFonts w:hint="eastAsia"/>
          <w:color w:val="auto"/>
        </w:rPr>
        <w:t xml:space="preserve"> </w:t>
      </w:r>
    </w:p>
    <w:p>
      <w:pPr>
        <w:adjustRightInd w:val="0"/>
        <w:ind w:firstLine="480"/>
        <w:rPr>
          <w:rFonts w:hint="eastAsia" w:hAnsi="宋体"/>
          <w:color w:val="auto"/>
        </w:rPr>
      </w:pPr>
      <w:r>
        <w:rPr>
          <w:color w:val="auto"/>
        </w:rPr>
        <w:t xml:space="preserve">ZCy </w:t>
      </w:r>
      <w:r>
        <w:rPr>
          <w:rFonts w:hAnsi="宋体"/>
          <w:color w:val="auto"/>
        </w:rPr>
        <w:t>指装卸扬尘产生量（单位：吨）；</w:t>
      </w:r>
    </w:p>
    <w:p>
      <w:pPr>
        <w:adjustRightInd w:val="0"/>
        <w:ind w:firstLine="480"/>
        <w:rPr>
          <w:color w:val="auto"/>
        </w:rPr>
      </w:pPr>
      <w:r>
        <w:rPr>
          <w:color w:val="auto"/>
        </w:rPr>
        <w:t xml:space="preserve">FCy </w:t>
      </w:r>
      <w:r>
        <w:rPr>
          <w:rFonts w:hAnsi="宋体"/>
          <w:color w:val="auto"/>
        </w:rPr>
        <w:t>指风蚀扬尘产生量（单位：吨）；</w:t>
      </w:r>
      <w:r>
        <w:rPr>
          <w:color w:val="auto"/>
        </w:rPr>
        <w:t xml:space="preserve"> </w:t>
      </w:r>
    </w:p>
    <w:p>
      <w:pPr>
        <w:adjustRightInd w:val="0"/>
        <w:ind w:firstLine="480"/>
        <w:rPr>
          <w:rFonts w:hint="eastAsia" w:hAnsi="宋体"/>
          <w:color w:val="auto"/>
        </w:rPr>
      </w:pPr>
      <w:r>
        <w:rPr>
          <w:color w:val="auto"/>
        </w:rPr>
        <w:t xml:space="preserve">Nc </w:t>
      </w:r>
      <w:r>
        <w:rPr>
          <w:rFonts w:hAnsi="宋体"/>
          <w:color w:val="auto"/>
        </w:rPr>
        <w:t>指年物料运载车次：</w:t>
      </w:r>
      <w:r>
        <w:rPr>
          <w:rFonts w:hint="eastAsia"/>
          <w:color w:val="auto"/>
        </w:rPr>
        <w:t>720</w:t>
      </w:r>
      <w:r>
        <w:rPr>
          <w:rFonts w:hAnsi="宋体"/>
          <w:color w:val="auto"/>
        </w:rPr>
        <w:t>车（单位：车）；</w:t>
      </w:r>
    </w:p>
    <w:p>
      <w:pPr>
        <w:adjustRightInd w:val="0"/>
        <w:ind w:firstLine="480"/>
        <w:rPr>
          <w:color w:val="auto"/>
        </w:rPr>
      </w:pPr>
      <w:r>
        <w:rPr>
          <w:color w:val="auto"/>
        </w:rPr>
        <w:t xml:space="preserve">D </w:t>
      </w:r>
      <w:r>
        <w:rPr>
          <w:rFonts w:hAnsi="宋体"/>
          <w:color w:val="auto"/>
        </w:rPr>
        <w:t>指单车平均运载量：</w:t>
      </w:r>
      <w:r>
        <w:rPr>
          <w:rFonts w:hint="eastAsia"/>
          <w:color w:val="auto"/>
        </w:rPr>
        <w:t>40</w:t>
      </w:r>
      <w:r>
        <w:rPr>
          <w:rFonts w:hAnsi="宋体"/>
          <w:color w:val="auto"/>
        </w:rPr>
        <w:t>吨</w:t>
      </w:r>
      <w:r>
        <w:rPr>
          <w:color w:val="auto"/>
        </w:rPr>
        <w:t>/</w:t>
      </w:r>
      <w:r>
        <w:rPr>
          <w:rFonts w:hAnsi="宋体"/>
          <w:color w:val="auto"/>
        </w:rPr>
        <w:t>车（单位：吨</w:t>
      </w:r>
      <w:r>
        <w:rPr>
          <w:color w:val="auto"/>
        </w:rPr>
        <w:t>/</w:t>
      </w:r>
      <w:r>
        <w:rPr>
          <w:rFonts w:hAnsi="宋体"/>
          <w:color w:val="auto"/>
        </w:rPr>
        <w:t>车）；</w:t>
      </w:r>
      <w:r>
        <w:rPr>
          <w:color w:val="auto"/>
        </w:rPr>
        <w:t xml:space="preserve">FCy </w:t>
      </w:r>
      <w:r>
        <w:rPr>
          <w:rFonts w:hAnsi="宋体"/>
          <w:color w:val="auto"/>
        </w:rPr>
        <w:t>指风蚀扬尘产生量（单位：吨）；</w:t>
      </w:r>
      <w:r>
        <w:rPr>
          <w:color w:val="auto"/>
        </w:rPr>
        <w:t xml:space="preserve"> </w:t>
      </w:r>
    </w:p>
    <w:p>
      <w:pPr>
        <w:adjustRightInd w:val="0"/>
        <w:ind w:firstLine="480"/>
        <w:rPr>
          <w:rFonts w:hint="eastAsia" w:hAnsi="宋体"/>
          <w:color w:val="auto"/>
        </w:rPr>
      </w:pPr>
      <w:r>
        <w:rPr>
          <w:color w:val="auto"/>
        </w:rPr>
        <w:t xml:space="preserve">S </w:t>
      </w:r>
      <w:r>
        <w:rPr>
          <w:rFonts w:hAnsi="宋体"/>
          <w:color w:val="auto"/>
        </w:rPr>
        <w:t>指堆场占地面积</w:t>
      </w:r>
      <w:r>
        <w:rPr>
          <w:rFonts w:hint="eastAsia" w:hAnsi="宋体"/>
          <w:color w:val="auto"/>
        </w:rPr>
        <w:t>，4541</w:t>
      </w:r>
      <w:r>
        <w:rPr>
          <w:rFonts w:hAnsi="宋体"/>
          <w:color w:val="auto"/>
        </w:rPr>
        <w:t>（单位：平方米）。</w:t>
      </w:r>
    </w:p>
    <w:p>
      <w:pPr>
        <w:adjustRightInd w:val="0"/>
        <w:ind w:firstLine="480"/>
        <w:rPr>
          <w:rFonts w:hint="eastAsia" w:hAnsi="宋体"/>
          <w:color w:val="auto"/>
        </w:rPr>
      </w:pPr>
      <w:r>
        <w:rPr>
          <w:rFonts w:hAnsi="宋体"/>
          <w:color w:val="auto"/>
        </w:rPr>
        <w:t>（a/b）指装卸扬尘概化系数（单位：千克/吨），a 指各省风速概化系数，取0.0006，b 指物料含水率概化系数，类比混合矿山取0.0084；</w:t>
      </w:r>
    </w:p>
    <w:p>
      <w:pPr>
        <w:adjustRightInd w:val="0"/>
        <w:ind w:firstLine="480"/>
        <w:rPr>
          <w:color w:val="auto"/>
        </w:rPr>
      </w:pPr>
      <w:r>
        <w:rPr>
          <w:rFonts w:hAnsi="宋体"/>
          <w:color w:val="auto"/>
        </w:rPr>
        <w:t>Ef 指堆场风蚀扬尘概化系数，类比混合矿石取</w:t>
      </w:r>
      <w:r>
        <w:rPr>
          <w:color w:val="auto"/>
        </w:rPr>
        <w:t>0</w:t>
      </w:r>
      <w:r>
        <w:rPr>
          <w:rFonts w:hAnsi="宋体"/>
          <w:color w:val="auto"/>
        </w:rPr>
        <w:t>（单位：千克</w:t>
      </w:r>
      <w:r>
        <w:rPr>
          <w:color w:val="auto"/>
        </w:rPr>
        <w:t>/</w:t>
      </w:r>
      <w:r>
        <w:rPr>
          <w:rFonts w:hAnsi="宋体"/>
          <w:color w:val="auto"/>
        </w:rPr>
        <w:t>平方米）；</w:t>
      </w:r>
    </w:p>
    <w:p>
      <w:pPr>
        <w:adjustRightInd w:val="0"/>
        <w:ind w:firstLine="480"/>
        <w:rPr>
          <w:color w:val="auto"/>
        </w:rPr>
      </w:pPr>
      <w:r>
        <w:rPr>
          <w:rFonts w:hAnsi="宋体"/>
          <w:color w:val="auto"/>
        </w:rPr>
        <w:t>经计算本项目固体物料堆存颗粒物包括装卸场尘和风蚀扬尘</w:t>
      </w:r>
      <w:r>
        <w:rPr>
          <w:rFonts w:hint="eastAsia" w:hAnsi="宋体"/>
          <w:color w:val="auto"/>
        </w:rPr>
        <w:t>，</w:t>
      </w:r>
      <w:r>
        <w:rPr>
          <w:rFonts w:hint="eastAsia"/>
          <w:color w:val="auto"/>
        </w:rPr>
        <w:t>则项目</w:t>
      </w:r>
      <w:r>
        <w:rPr>
          <w:rFonts w:hint="eastAsia" w:hAnsi="宋体"/>
          <w:color w:val="auto"/>
        </w:rPr>
        <w:t>起尘量为48.351吨</w:t>
      </w:r>
      <w:r>
        <w:rPr>
          <w:color w:val="auto"/>
        </w:rPr>
        <w:t>。</w:t>
      </w:r>
    </w:p>
    <w:p>
      <w:pPr>
        <w:adjustRightInd w:val="0"/>
        <w:ind w:firstLine="480"/>
        <w:rPr>
          <w:b/>
          <w:bCs/>
          <w:color w:val="auto"/>
        </w:rPr>
      </w:pPr>
      <w:r>
        <w:rPr>
          <w:rFonts w:hAnsi="宋体"/>
          <w:color w:val="auto"/>
        </w:rPr>
        <w:t>工业企业固体物料堆场颗粒物排</w:t>
      </w:r>
      <w:r>
        <w:rPr>
          <w:color w:val="auto"/>
        </w:rPr>
        <w:t>放量核算公式如下：</w:t>
      </w:r>
    </w:p>
    <w:p>
      <w:pPr>
        <w:adjustRightInd w:val="0"/>
        <w:ind w:firstLine="482"/>
        <w:jc w:val="center"/>
        <w:rPr>
          <w:b/>
          <w:bCs/>
          <w:color w:val="auto"/>
        </w:rPr>
      </w:pPr>
      <w:r>
        <w:rPr>
          <w:b/>
          <w:bCs/>
          <w:color w:val="auto"/>
        </w:rPr>
        <w:t>Uc=P×（1-Cm）×（1-Tm）</w:t>
      </w:r>
    </w:p>
    <w:p>
      <w:pPr>
        <w:adjustRightInd w:val="0"/>
        <w:ind w:firstLine="480"/>
        <w:rPr>
          <w:color w:val="auto"/>
        </w:rPr>
      </w:pPr>
      <w:r>
        <w:rPr>
          <w:color w:val="auto"/>
        </w:rPr>
        <w:t>其中：P 指颗粒物产生量（单位：吨）；</w:t>
      </w:r>
    </w:p>
    <w:p>
      <w:pPr>
        <w:adjustRightInd w:val="0"/>
        <w:ind w:firstLine="480"/>
        <w:rPr>
          <w:color w:val="auto"/>
        </w:rPr>
      </w:pPr>
      <w:r>
        <w:rPr>
          <w:color w:val="auto"/>
        </w:rPr>
        <w:t xml:space="preserve"> Uc 指颗粒物排放量（单位：吨）；</w:t>
      </w:r>
    </w:p>
    <w:p>
      <w:pPr>
        <w:adjustRightInd w:val="0"/>
        <w:ind w:firstLine="480"/>
        <w:rPr>
          <w:color w:val="auto"/>
        </w:rPr>
      </w:pPr>
      <w:r>
        <w:rPr>
          <w:color w:val="auto"/>
        </w:rPr>
        <w:t xml:space="preserve"> Tm指堆场类型控制效率（单位：%）,密闭式取99%，</w:t>
      </w:r>
    </w:p>
    <w:p>
      <w:pPr>
        <w:adjustRightInd w:val="0"/>
        <w:ind w:firstLine="480"/>
        <w:rPr>
          <w:color w:val="auto"/>
        </w:rPr>
      </w:pPr>
      <w:r>
        <w:rPr>
          <w:color w:val="auto"/>
        </w:rPr>
        <w:t>Cm指颗粒物控制措施控制效率（单位：%），喷淋洒水取74%、厂房取60%、覆盖取86%、进出车辆冲洗取78%；</w:t>
      </w:r>
    </w:p>
    <w:p>
      <w:pPr>
        <w:adjustRightInd w:val="0"/>
        <w:ind w:firstLine="480"/>
        <w:rPr>
          <w:color w:val="auto"/>
        </w:rPr>
      </w:pPr>
      <w:r>
        <w:rPr>
          <w:color w:val="auto"/>
        </w:rPr>
        <w:t>本项目原料堆放场采用封闭厂房（60%）、并设置喷雾降尘装置（74%）、进出车辆进行冲洗（78%），即原料堆放场的颗粒物综合控制效率为97.71%。则项目原料堆放场内装卸及堆场粉尘排放量为1.</w:t>
      </w:r>
      <w:r>
        <w:rPr>
          <w:rFonts w:hint="eastAsia"/>
          <w:color w:val="auto"/>
        </w:rPr>
        <w:t>1</w:t>
      </w:r>
      <w:r>
        <w:rPr>
          <w:color w:val="auto"/>
        </w:rPr>
        <w:t>t/a。</w:t>
      </w:r>
    </w:p>
    <w:p>
      <w:pPr>
        <w:ind w:left="420" w:firstLine="0" w:firstLineChars="0"/>
        <w:rPr>
          <w:b/>
          <w:color w:val="auto"/>
        </w:rPr>
      </w:pPr>
      <w:r>
        <w:rPr>
          <w:rFonts w:hint="eastAsia"/>
          <w:b/>
          <w:color w:val="auto"/>
        </w:rPr>
        <w:t>（4）</w:t>
      </w:r>
      <w:r>
        <w:rPr>
          <w:b/>
          <w:color w:val="auto"/>
        </w:rPr>
        <w:t>搅拌工序粉尘</w:t>
      </w:r>
    </w:p>
    <w:p>
      <w:pPr>
        <w:ind w:firstLine="480"/>
        <w:jc w:val="left"/>
        <w:rPr>
          <w:color w:val="auto"/>
        </w:rPr>
      </w:pPr>
      <w:r>
        <w:rPr>
          <w:color w:val="auto"/>
        </w:rPr>
        <w:t>本项目混凝搅拌工序会产生粉尘，本次依据</w:t>
      </w:r>
      <w:r>
        <w:rPr>
          <w:color w:val="auto"/>
          <w:spacing w:val="-3"/>
        </w:rPr>
        <w:t>《排放源统计调查产排污核算方法和系数手册》生态环境部公告2021年第24号</w:t>
      </w:r>
      <w:r>
        <w:rPr>
          <w:color w:val="auto"/>
        </w:rPr>
        <w:t>中“附表1工业行业产排污系数手册-- 3021、3022、3029水泥制品制造行业系数手册”的产污系数核算，根据企业提供的数据，项目搅拌站年产</w:t>
      </w:r>
      <w:r>
        <w:rPr>
          <w:rFonts w:hint="eastAsia"/>
          <w:color w:val="auto"/>
        </w:rPr>
        <w:t>1</w:t>
      </w:r>
      <w:r>
        <w:rPr>
          <w:color w:val="auto"/>
        </w:rPr>
        <w:t>0万m</w:t>
      </w:r>
      <w:r>
        <w:rPr>
          <w:color w:val="auto"/>
          <w:vertAlign w:val="superscript"/>
        </w:rPr>
        <w:t>3</w:t>
      </w:r>
      <w:r>
        <w:rPr>
          <w:color w:val="auto"/>
        </w:rPr>
        <w:t>混凝土</w:t>
      </w:r>
      <w:r>
        <w:rPr>
          <w:rFonts w:hint="eastAsia"/>
          <w:color w:val="auto"/>
        </w:rPr>
        <w:t>，共有两座搅拌站，</w:t>
      </w:r>
      <w:r>
        <w:rPr>
          <w:color w:val="auto"/>
        </w:rPr>
        <w:t>其颗粒物产污系统按</w:t>
      </w:r>
      <w:r>
        <w:rPr>
          <w:color w:val="auto"/>
          <w:kern w:val="0"/>
        </w:rPr>
        <w:t>0.13kg/t-产品</w:t>
      </w:r>
      <w:r>
        <w:rPr>
          <w:color w:val="auto"/>
        </w:rPr>
        <w:t>计算，其颗粒物产生量为</w:t>
      </w:r>
      <w:r>
        <w:rPr>
          <w:rFonts w:hint="eastAsia"/>
          <w:color w:val="auto"/>
        </w:rPr>
        <w:t>30.78</w:t>
      </w:r>
      <w:r>
        <w:rPr>
          <w:color w:val="auto"/>
        </w:rPr>
        <w:t>t/a</w:t>
      </w:r>
      <w:r>
        <w:rPr>
          <w:rFonts w:hint="eastAsia"/>
          <w:color w:val="auto"/>
        </w:rPr>
        <w:t>，</w:t>
      </w:r>
      <w:r>
        <w:rPr>
          <w:color w:val="auto"/>
        </w:rPr>
        <w:t>通过自带的</w:t>
      </w:r>
      <w:r>
        <w:rPr>
          <w:color w:val="auto"/>
        </w:rPr>
        <w:fldChar w:fldCharType="begin"/>
      </w:r>
      <w:r>
        <w:rPr>
          <w:color w:val="auto"/>
        </w:rPr>
        <w:instrText xml:space="preserve"> HYPERLINK "http://e.so.com/search/eclk?p=2279lMzFgty4ZG2SEokmn_7tABGyngDHrfu1YiJyHLTbfNu5eOnFIpHN6o6XrmHj-j8tE6ORSg8F62kbpf0f0sUCok7SynvjxpXANUUk9VQgJU1qXrhmunxGkloUyUHq1SbSoMzhfTKuztkG8yFkXm7kikLmNON91ljnJiTwNSjDZCX4gQKO10rkk4Lq0t--7nVIRJxef-qbCn6f_esIj5D1TR0iDeQUTJ6RnmoKVcoi3AlKleXJCa1CA_vYBzbRfrf8MZMvLW8zY7GhHh5F3ETHOVR7C0naQl5NlJF1mbk9PnQB_Ndw1WFxbZtuAOeVtWuyJkjcWwQN6ujb3gh1tsw41gvv2T_I0UgwPZaSqsRqJvbuWx3c1lKen_XnGJbIUuOMDPC1zy5sUB4JGrel9iFhK9-AlBMSGhYmoy_TcFVCiJGXy3rzFTlNYMxl6Jq4b-EGoRg28RAGIG67GHdBhnV3liy585f8dkn7DCsruGusPDFkl4m--YVHAQLn79CG3XcGLOx8FYremnzuj1Bm2HyulUiscnRHfhNw_sOcSfSxvY9ZOB8WFxmQt0FtEjlvKqtRPFQBDEaXfyoVj4ybIZ2y70Nzaaj-yIGsR_XXXNS9bXkicSI2owu7sTIWbuh0juX-QHCXIO0I73Up6-jv7vnLL3f_2MgLnuXJkeWOvzgjdhDyWOlbqNW7CgZ2hMmHT3FTvSRfsLybzGNasZcgjIuLTtS7bGZdpxyTtOYq4D-4hybGZ1tJMPWAh59y4bEcwTDuVzvzaCLnpInuj0eryLnGX0QdpnyjypQOSOkDZ8ORjy97PKxQoIB9oUME3Tl6Wyzw4ndpJEJlsQWirJufkDR270F8LkFzyiGJ3NuT5-gniDnmQ7te4tw9Hsx1zmgSmyhKYYGRGus&amp;ns=0&amp;v=2&amp;at=AeiEieWGsuW4g-iii-S7k-mhtumZpOWwmOWZqALljoLlrrbnm7TplIAg546w6LSn5L6b5bqU&amp;aurl=aHR0cDovL3d3dy5zaGNodWNoZW44LmNvbS9jY3Ev&amp;sig=930d&amp;bt=1&amp;st=1622099340166&amp;dd=1622099344486&amp;cl=37&amp;cr=2&amp;dw=540&amp;dh=803&amp;px=126&amp;py=570&amp;kd=2&amp;p1=112&amp;p2=3&amp;p3=3&amp;p4=33&amp;ud=1622099344616" \t "https://www.so.com/_blank" </w:instrText>
      </w:r>
      <w:r>
        <w:rPr>
          <w:color w:val="auto"/>
        </w:rPr>
        <w:fldChar w:fldCharType="separate"/>
      </w:r>
      <w:r>
        <w:rPr>
          <w:color w:val="auto"/>
        </w:rPr>
        <w:t>脉冲布袋除尘器</w:t>
      </w:r>
      <w:r>
        <w:rPr>
          <w:color w:val="auto"/>
        </w:rPr>
        <w:fldChar w:fldCharType="end"/>
      </w:r>
      <w:r>
        <w:rPr>
          <w:color w:val="auto"/>
        </w:rPr>
        <w:t>处理后的排放量为</w:t>
      </w:r>
      <w:r>
        <w:rPr>
          <w:rFonts w:hint="eastAsia"/>
          <w:color w:val="auto"/>
        </w:rPr>
        <w:t>0.092</w:t>
      </w:r>
      <w:r>
        <w:rPr>
          <w:color w:val="auto"/>
        </w:rPr>
        <w:t>t/a（去除效率取99.7%），在搅拌楼内自然沉降。</w:t>
      </w:r>
    </w:p>
    <w:p>
      <w:pPr>
        <w:ind w:firstLine="482"/>
        <w:jc w:val="left"/>
        <w:rPr>
          <w:b/>
          <w:color w:val="auto"/>
        </w:rPr>
      </w:pPr>
      <w:r>
        <w:rPr>
          <w:rFonts w:hint="eastAsia"/>
          <w:b/>
          <w:color w:val="auto"/>
        </w:rPr>
        <w:t>（5）</w:t>
      </w:r>
      <w:r>
        <w:rPr>
          <w:b/>
          <w:color w:val="auto"/>
        </w:rPr>
        <w:t>道路运输扬尘</w:t>
      </w:r>
    </w:p>
    <w:p>
      <w:pPr>
        <w:ind w:firstLine="480"/>
        <w:jc w:val="left"/>
        <w:rPr>
          <w:color w:val="auto"/>
        </w:rPr>
      </w:pPr>
      <w:r>
        <w:rPr>
          <w:color w:val="auto"/>
        </w:rPr>
        <w:t>根据《逸散性工业粉尘控制技术》，地面运输扬尘产生量为0.016kg/t（卸料），则物料运输总量为</w:t>
      </w:r>
      <w:r>
        <w:rPr>
          <w:rFonts w:hint="eastAsia"/>
          <w:color w:val="auto"/>
        </w:rPr>
        <w:t>219384</w:t>
      </w:r>
      <w:r>
        <w:rPr>
          <w:color w:val="auto"/>
        </w:rPr>
        <w:t>吨，则道路运输扬尘产生量分别为17.551t/a。</w:t>
      </w:r>
    </w:p>
    <w:p>
      <w:pPr>
        <w:adjustRightInd w:val="0"/>
        <w:ind w:firstLine="480"/>
        <w:rPr>
          <w:color w:val="auto"/>
        </w:rPr>
      </w:pPr>
      <w:r>
        <w:rPr>
          <w:color w:val="auto"/>
        </w:rPr>
        <w:t>项目厂区道路运输扬尘控制措施控制效率（单位：%）参照</w:t>
      </w:r>
      <w:r>
        <w:rPr>
          <w:color w:val="auto"/>
          <w:spacing w:val="-3"/>
        </w:rPr>
        <w:t>《排放源统计调查产排污核算方法和系数手册》生态环境部公告2021年第24号</w:t>
      </w:r>
      <w:r>
        <w:rPr>
          <w:color w:val="auto"/>
        </w:rPr>
        <w:t>中“附表2 工业源固体物料堆场颗粒物核算系数手册”的工业企业固体物料堆存颗粒物排放量核算公式中的相关系统进行核算。项目厂区道路采用硬化地面、进出口设置车辆冲洗平台（78%）、车辆编织覆盖上路（86%）、同时对道路进行洒水作业（74%），即</w:t>
      </w:r>
      <w:r>
        <w:rPr>
          <w:rFonts w:hint="eastAsia"/>
          <w:color w:val="auto"/>
        </w:rPr>
        <w:t>道路</w:t>
      </w:r>
      <w:r>
        <w:rPr>
          <w:color w:val="auto"/>
        </w:rPr>
        <w:t>的颗粒物综合控制效率为99.2%。</w:t>
      </w:r>
    </w:p>
    <w:p>
      <w:pPr>
        <w:adjustRightInd w:val="0"/>
        <w:ind w:firstLine="480"/>
        <w:rPr>
          <w:color w:val="auto"/>
        </w:rPr>
      </w:pPr>
      <w:r>
        <w:rPr>
          <w:color w:val="auto"/>
        </w:rPr>
        <w:t>则项目原料堆放场内装卸及堆场粉尘排放量为0.1405t/a。</w:t>
      </w:r>
    </w:p>
    <w:p>
      <w:pPr>
        <w:widowControl/>
        <w:ind w:firstLine="482"/>
        <w:jc w:val="left"/>
        <w:textAlignment w:val="baseline"/>
        <w:rPr>
          <w:b/>
          <w:color w:val="auto"/>
          <w:szCs w:val="32"/>
        </w:rPr>
      </w:pPr>
      <w:r>
        <w:rPr>
          <w:rFonts w:hint="eastAsia"/>
          <w:b/>
          <w:color w:val="auto"/>
          <w:szCs w:val="32"/>
        </w:rPr>
        <w:t>（6）</w:t>
      </w:r>
      <w:r>
        <w:rPr>
          <w:b/>
          <w:color w:val="auto"/>
        </w:rPr>
        <w:t>筒仓粉尘</w:t>
      </w:r>
    </w:p>
    <w:p>
      <w:pPr>
        <w:widowControl/>
        <w:ind w:firstLine="480"/>
        <w:jc w:val="left"/>
        <w:textAlignment w:val="baseline"/>
        <w:rPr>
          <w:color w:val="auto"/>
        </w:rPr>
      </w:pPr>
      <w:r>
        <w:rPr>
          <w:color w:val="auto"/>
        </w:rPr>
        <w:t>本项目设置商品</w:t>
      </w:r>
      <w:r>
        <w:rPr>
          <w:rFonts w:hint="eastAsia"/>
          <w:color w:val="auto"/>
        </w:rPr>
        <w:t>混凝土2</w:t>
      </w:r>
      <w:r>
        <w:rPr>
          <w:color w:val="auto"/>
        </w:rPr>
        <w:t>条生产线，生产线配套设置</w:t>
      </w:r>
      <w:r>
        <w:rPr>
          <w:rFonts w:hint="eastAsia"/>
          <w:color w:val="auto"/>
        </w:rPr>
        <w:t>8</w:t>
      </w:r>
      <w:r>
        <w:rPr>
          <w:color w:val="auto"/>
        </w:rPr>
        <w:t>个筒仓（300t的</w:t>
      </w:r>
      <w:r>
        <w:rPr>
          <w:rFonts w:hint="eastAsia"/>
          <w:color w:val="auto"/>
        </w:rPr>
        <w:t>水泥</w:t>
      </w:r>
      <w:r>
        <w:rPr>
          <w:color w:val="auto"/>
        </w:rPr>
        <w:t>筒仓4个</w:t>
      </w:r>
      <w:r>
        <w:rPr>
          <w:rFonts w:hint="eastAsia"/>
          <w:color w:val="auto"/>
        </w:rPr>
        <w:t>，</w:t>
      </w:r>
      <w:r>
        <w:rPr>
          <w:color w:val="auto"/>
        </w:rPr>
        <w:t>300t的</w:t>
      </w:r>
      <w:r>
        <w:rPr>
          <w:rFonts w:hint="eastAsia"/>
          <w:color w:val="auto"/>
        </w:rPr>
        <w:t>粉煤灰</w:t>
      </w:r>
      <w:r>
        <w:rPr>
          <w:color w:val="auto"/>
        </w:rPr>
        <w:t>筒仓4个），项目所需的水泥、粉煤灰等通过槽罐车运输进厂，由槽罐车自带的空压机打入筒仓，此时产生的含尘废气由筒仓顶部自带的仓顶除尘器处理，处理后的含尘废气将在搅拌楼内自然沉降。项目搅拌楼设于封闭式厂房内，搅拌楼无组织粉尘对外环境影响较小。</w:t>
      </w:r>
    </w:p>
    <w:p>
      <w:pPr>
        <w:widowControl/>
        <w:ind w:firstLine="480"/>
        <w:jc w:val="left"/>
        <w:textAlignment w:val="baseline"/>
        <w:rPr>
          <w:color w:val="auto"/>
        </w:rPr>
      </w:pPr>
      <w:r>
        <w:rPr>
          <w:color w:val="auto"/>
        </w:rPr>
        <w:t>根据设计资料，各筒仓单罐设仓顶除尘器风量为2000m</w:t>
      </w:r>
      <w:r>
        <w:rPr>
          <w:color w:val="auto"/>
          <w:vertAlign w:val="superscript"/>
        </w:rPr>
        <w:t>3</w:t>
      </w:r>
      <w:r>
        <w:rPr>
          <w:color w:val="auto"/>
        </w:rPr>
        <w:t>/h，项目为一天</w:t>
      </w:r>
      <w:r>
        <w:rPr>
          <w:rFonts w:hint="eastAsia"/>
          <w:color w:val="auto"/>
        </w:rPr>
        <w:t>8</w:t>
      </w:r>
      <w:r>
        <w:rPr>
          <w:color w:val="auto"/>
        </w:rPr>
        <w:t>小时制，年工作时间</w:t>
      </w:r>
      <w:r>
        <w:rPr>
          <w:rFonts w:hint="eastAsia"/>
          <w:color w:val="auto"/>
        </w:rPr>
        <w:t>36</w:t>
      </w:r>
      <w:r>
        <w:rPr>
          <w:color w:val="auto"/>
        </w:rPr>
        <w:t>0天，根据《排放源统计调查产排污核算方法和系数手册》</w:t>
      </w:r>
      <w:r>
        <w:rPr>
          <w:rFonts w:hint="eastAsia"/>
          <w:color w:val="auto"/>
        </w:rPr>
        <w:t>（</w:t>
      </w:r>
      <w:r>
        <w:rPr>
          <w:color w:val="auto"/>
        </w:rPr>
        <w:t>2021版</w:t>
      </w:r>
      <w:r>
        <w:rPr>
          <w:rFonts w:hint="eastAsia"/>
          <w:color w:val="auto"/>
        </w:rPr>
        <w:t>）</w:t>
      </w:r>
      <w:r>
        <w:rPr>
          <w:color w:val="auto"/>
        </w:rPr>
        <w:t>中3021水泥制品制造，其物料输送储存粉尘产生量按0.1</w:t>
      </w:r>
      <w:r>
        <w:rPr>
          <w:rFonts w:hint="eastAsia"/>
          <w:color w:val="auto"/>
        </w:rPr>
        <w:t>2</w:t>
      </w:r>
      <w:r>
        <w:rPr>
          <w:color w:val="auto"/>
        </w:rPr>
        <w:t>kg/t-产品计。本项目年产</w:t>
      </w:r>
      <w:r>
        <w:rPr>
          <w:rFonts w:hint="eastAsia"/>
          <w:color w:val="auto"/>
        </w:rPr>
        <w:t>10</w:t>
      </w:r>
      <w:r>
        <w:rPr>
          <w:color w:val="auto"/>
        </w:rPr>
        <w:t>万立方商品混凝土（约</w:t>
      </w:r>
      <w:r>
        <w:rPr>
          <w:rFonts w:hint="eastAsia"/>
          <w:color w:val="auto"/>
        </w:rPr>
        <w:t>24</w:t>
      </w:r>
      <w:r>
        <w:rPr>
          <w:color w:val="auto"/>
        </w:rPr>
        <w:t>万吨），则本项目筒仓产生的粉尘为</w:t>
      </w:r>
      <w:r>
        <w:rPr>
          <w:rFonts w:hint="eastAsia"/>
          <w:color w:val="auto"/>
        </w:rPr>
        <w:t>28.8</w:t>
      </w:r>
      <w:r>
        <w:rPr>
          <w:color w:val="auto"/>
        </w:rPr>
        <w:t>t</w:t>
      </w:r>
      <w:r>
        <w:rPr>
          <w:rFonts w:hint="eastAsia"/>
          <w:color w:val="auto"/>
        </w:rPr>
        <w:t>/a</w:t>
      </w:r>
      <w:r>
        <w:rPr>
          <w:color w:val="auto"/>
        </w:rPr>
        <w:t>。</w:t>
      </w:r>
    </w:p>
    <w:p>
      <w:pPr>
        <w:widowControl/>
        <w:ind w:firstLine="480"/>
        <w:jc w:val="left"/>
        <w:textAlignment w:val="baseline"/>
        <w:rPr>
          <w:color w:val="auto"/>
        </w:rPr>
      </w:pPr>
      <w:r>
        <w:rPr>
          <w:color w:val="auto"/>
        </w:rPr>
        <w:t>根据业主提供资料，项目所购买的</w:t>
      </w:r>
      <w:r>
        <w:rPr>
          <w:rFonts w:hint="eastAsia"/>
          <w:color w:val="auto"/>
        </w:rPr>
        <w:t>一</w:t>
      </w:r>
      <w:r>
        <w:rPr>
          <w:color w:val="auto"/>
        </w:rPr>
        <w:t>套搅拌主机的各筒仓顶均自带一个</w:t>
      </w:r>
      <w:r>
        <w:rPr>
          <w:rFonts w:hint="eastAsia"/>
          <w:color w:val="auto"/>
        </w:rPr>
        <w:t>脉冲布袋除尘器</w:t>
      </w:r>
      <w:r>
        <w:rPr>
          <w:color w:val="auto"/>
        </w:rPr>
        <w:t>，</w:t>
      </w:r>
      <w:r>
        <w:rPr>
          <w:rFonts w:hint="eastAsia"/>
          <w:color w:val="auto"/>
        </w:rPr>
        <w:t>一</w:t>
      </w:r>
      <w:r>
        <w:rPr>
          <w:color w:val="auto"/>
        </w:rPr>
        <w:t>套搅拌设计合计</w:t>
      </w:r>
      <w:r>
        <w:rPr>
          <w:rFonts w:hint="eastAsia"/>
          <w:color w:val="auto"/>
        </w:rPr>
        <w:t>8</w:t>
      </w:r>
      <w:r>
        <w:rPr>
          <w:color w:val="auto"/>
        </w:rPr>
        <w:t>个筒仓共设</w:t>
      </w:r>
      <w:r>
        <w:rPr>
          <w:rFonts w:hint="eastAsia"/>
          <w:color w:val="auto"/>
        </w:rPr>
        <w:t>8</w:t>
      </w:r>
      <w:r>
        <w:rPr>
          <w:color w:val="auto"/>
        </w:rPr>
        <w:t>套</w:t>
      </w:r>
      <w:r>
        <w:rPr>
          <w:rFonts w:hint="eastAsia"/>
          <w:color w:val="auto"/>
        </w:rPr>
        <w:t>脉冲布袋除尘器</w:t>
      </w:r>
      <w:r>
        <w:rPr>
          <w:color w:val="auto"/>
        </w:rPr>
        <w:t>；除尘器除尘效率可达99%，则筒仓粉尘排放量为</w:t>
      </w:r>
      <w:r>
        <w:rPr>
          <w:rFonts w:hint="eastAsia"/>
          <w:color w:val="auto"/>
        </w:rPr>
        <w:t>0.29</w:t>
      </w:r>
      <w:r>
        <w:rPr>
          <w:color w:val="auto"/>
        </w:rPr>
        <w:t>t/a，经除尘器处理后的含尘废气将在搅拌楼内自然沉降。</w:t>
      </w:r>
    </w:p>
    <w:p>
      <w:pPr>
        <w:ind w:firstLine="482"/>
        <w:rPr>
          <w:b/>
          <w:bCs/>
          <w:color w:val="auto"/>
        </w:rPr>
      </w:pPr>
      <w:r>
        <w:rPr>
          <w:rFonts w:hint="eastAsia"/>
          <w:b/>
          <w:bCs/>
          <w:color w:val="auto"/>
        </w:rPr>
        <w:t xml:space="preserve">（7）沥青装卸无组织废气 </w:t>
      </w:r>
    </w:p>
    <w:p>
      <w:pPr>
        <w:ind w:firstLine="480"/>
        <w:rPr>
          <w:color w:val="auto"/>
        </w:rPr>
      </w:pPr>
      <w:r>
        <w:rPr>
          <w:rFonts w:hint="eastAsia"/>
          <w:color w:val="auto"/>
        </w:rPr>
        <w:t>沥青罐车在装卸沥青时产生少量的</w:t>
      </w:r>
      <w:r>
        <w:rPr>
          <w:rFonts w:hint="eastAsia"/>
          <w:color w:val="auto"/>
          <w:lang w:val="en-US" w:eastAsia="zh-CN"/>
        </w:rPr>
        <w:t>苯并芘</w:t>
      </w:r>
      <w:r>
        <w:rPr>
          <w:rFonts w:hint="eastAsia"/>
          <w:color w:val="auto"/>
        </w:rPr>
        <w:t>，加强装卸时的废气治理收集措施。苯并[a]芘、沥青烟满足《大气污染物综合排放标准》(GB16297-1996)表2中无组织排放监控浓度限值，即沥青烟设备不得有明显的无组织排放，苯并[a]芘0.008μg/m</w:t>
      </w:r>
      <w:r>
        <w:rPr>
          <w:rFonts w:hint="eastAsia"/>
          <w:color w:val="auto"/>
          <w:vertAlign w:val="superscript"/>
        </w:rPr>
        <w:t>3</w:t>
      </w:r>
      <w:r>
        <w:rPr>
          <w:rFonts w:hint="eastAsia"/>
          <w:color w:val="auto"/>
        </w:rPr>
        <w:t>。</w:t>
      </w:r>
    </w:p>
    <w:p>
      <w:pPr>
        <w:pStyle w:val="4"/>
        <w:rPr>
          <w:color w:val="auto"/>
        </w:rPr>
      </w:pPr>
      <w:r>
        <w:rPr>
          <w:color w:val="auto"/>
        </w:rPr>
        <w:t>3 大气环境质量现状及评价</w:t>
      </w:r>
    </w:p>
    <w:p>
      <w:pPr>
        <w:pStyle w:val="5"/>
        <w:tabs>
          <w:tab w:val="left" w:pos="3949"/>
        </w:tabs>
        <w:ind w:firstLine="281"/>
        <w:rPr>
          <w:color w:val="auto"/>
        </w:rPr>
      </w:pPr>
      <w:r>
        <w:rPr>
          <w:rFonts w:hint="eastAsia"/>
          <w:color w:val="auto"/>
        </w:rPr>
        <w:t>3.1基本污染物环境空气质量</w:t>
      </w:r>
    </w:p>
    <w:p>
      <w:pPr>
        <w:ind w:firstLine="480"/>
        <w:rPr>
          <w:color w:val="auto"/>
        </w:rPr>
      </w:pPr>
      <w:r>
        <w:rPr>
          <w:rFonts w:hint="eastAsia"/>
          <w:color w:val="auto"/>
        </w:rPr>
        <w:t>根据《环境影响评价技术导则大气环境》（HJ2.2—2018），项目所在区域达标判定，优先采用国家或地方生态环境主管部门公开发布的评价基准年环境质量公告或环境质量报告中的数据或结论。</w:t>
      </w:r>
    </w:p>
    <w:p>
      <w:pPr>
        <w:ind w:firstLine="480"/>
        <w:jc w:val="left"/>
        <w:rPr>
          <w:color w:val="auto"/>
        </w:rPr>
      </w:pPr>
      <w:r>
        <w:rPr>
          <w:color w:val="auto"/>
        </w:rPr>
        <w:t>评价方法参照《环境空气质量评价技术规范（试行）》（HJ663-2013）。本项目位于海南藏族自治州同德县</w:t>
      </w:r>
      <w:r>
        <w:rPr>
          <w:rFonts w:hint="eastAsia"/>
          <w:color w:val="auto"/>
        </w:rPr>
        <w:t>尕巴松多镇</w:t>
      </w:r>
      <w:r>
        <w:rPr>
          <w:color w:val="auto"/>
        </w:rPr>
        <w:t>。根据生态环境部环境工程评估中心环境空气质量模型技术支持服务系统对本项目所在地2023年度环境空气质量数据的筛选分析结果，该区域为达标区。区域空气质量现状评价详见表3-1。</w:t>
      </w:r>
    </w:p>
    <w:p>
      <w:pPr>
        <w:adjustRightInd w:val="0"/>
        <w:snapToGrid w:val="0"/>
        <w:ind w:firstLine="0" w:firstLineChars="0"/>
        <w:jc w:val="center"/>
        <w:outlineLvl w:val="4"/>
        <w:rPr>
          <w:bCs/>
          <w:color w:val="auto"/>
        </w:rPr>
      </w:pPr>
      <w:r>
        <w:rPr>
          <w:bCs/>
          <w:color w:val="auto"/>
        </w:rPr>
        <w:t>表</w:t>
      </w:r>
      <w:r>
        <w:rPr>
          <w:rFonts w:hint="eastAsia"/>
          <w:bCs/>
          <w:color w:val="auto"/>
        </w:rPr>
        <w:t>3</w:t>
      </w:r>
      <w:r>
        <w:rPr>
          <w:bCs/>
          <w:color w:val="auto"/>
        </w:rPr>
        <w:t>-1 基本污染物环境质量现状数据</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6"/>
        <w:gridCol w:w="1909"/>
        <w:gridCol w:w="1272"/>
        <w:gridCol w:w="1272"/>
        <w:gridCol w:w="1022"/>
        <w:gridCol w:w="1077"/>
        <w:gridCol w:w="1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574" w:type="pct"/>
            <w:tcBorders>
              <w:tl2br w:val="nil"/>
              <w:tr2bl w:val="nil"/>
            </w:tcBorders>
            <w:vAlign w:val="center"/>
          </w:tcPr>
          <w:p>
            <w:pPr>
              <w:pStyle w:val="90"/>
              <w:spacing w:line="360" w:lineRule="auto"/>
              <w:rPr>
                <w:bCs/>
                <w:color w:val="auto"/>
                <w:szCs w:val="21"/>
              </w:rPr>
            </w:pPr>
            <w:r>
              <w:rPr>
                <w:bCs/>
                <w:color w:val="auto"/>
                <w:szCs w:val="21"/>
              </w:rPr>
              <w:t>污染物</w:t>
            </w:r>
          </w:p>
        </w:tc>
        <w:tc>
          <w:tcPr>
            <w:tcW w:w="1150" w:type="pct"/>
            <w:tcBorders>
              <w:tl2br w:val="nil"/>
              <w:tr2bl w:val="nil"/>
            </w:tcBorders>
            <w:vAlign w:val="center"/>
          </w:tcPr>
          <w:p>
            <w:pPr>
              <w:pStyle w:val="90"/>
              <w:spacing w:line="360" w:lineRule="auto"/>
              <w:rPr>
                <w:bCs/>
                <w:color w:val="auto"/>
                <w:szCs w:val="21"/>
              </w:rPr>
            </w:pPr>
            <w:r>
              <w:rPr>
                <w:bCs/>
                <w:color w:val="auto"/>
                <w:szCs w:val="21"/>
              </w:rPr>
              <w:t>年评价指标</w:t>
            </w:r>
          </w:p>
        </w:tc>
        <w:tc>
          <w:tcPr>
            <w:tcW w:w="630" w:type="pct"/>
            <w:tcBorders>
              <w:tl2br w:val="nil"/>
              <w:tr2bl w:val="nil"/>
            </w:tcBorders>
            <w:vAlign w:val="center"/>
          </w:tcPr>
          <w:p>
            <w:pPr>
              <w:pStyle w:val="90"/>
              <w:spacing w:line="360" w:lineRule="auto"/>
              <w:rPr>
                <w:bCs/>
                <w:color w:val="auto"/>
                <w:szCs w:val="21"/>
              </w:rPr>
            </w:pPr>
            <w:r>
              <w:rPr>
                <w:bCs/>
                <w:color w:val="auto"/>
                <w:szCs w:val="21"/>
              </w:rPr>
              <w:t>现状浓度（µg/m</w:t>
            </w:r>
            <w:r>
              <w:rPr>
                <w:bCs/>
                <w:color w:val="auto"/>
                <w:szCs w:val="21"/>
                <w:vertAlign w:val="superscript"/>
              </w:rPr>
              <w:t>3</w:t>
            </w:r>
            <w:r>
              <w:rPr>
                <w:bCs/>
                <w:color w:val="auto"/>
                <w:szCs w:val="21"/>
              </w:rPr>
              <w:t>）</w:t>
            </w:r>
          </w:p>
        </w:tc>
        <w:tc>
          <w:tcPr>
            <w:tcW w:w="709" w:type="pct"/>
            <w:tcBorders>
              <w:tl2br w:val="nil"/>
              <w:tr2bl w:val="nil"/>
            </w:tcBorders>
            <w:vAlign w:val="center"/>
          </w:tcPr>
          <w:p>
            <w:pPr>
              <w:pStyle w:val="90"/>
              <w:spacing w:line="360" w:lineRule="auto"/>
              <w:rPr>
                <w:bCs/>
                <w:color w:val="auto"/>
                <w:szCs w:val="21"/>
              </w:rPr>
            </w:pPr>
            <w:r>
              <w:rPr>
                <w:bCs/>
                <w:color w:val="auto"/>
                <w:szCs w:val="21"/>
              </w:rPr>
              <w:t>标准值（µg/m</w:t>
            </w:r>
            <w:r>
              <w:rPr>
                <w:bCs/>
                <w:color w:val="auto"/>
                <w:szCs w:val="21"/>
                <w:vertAlign w:val="superscript"/>
              </w:rPr>
              <w:t>3</w:t>
            </w:r>
            <w:r>
              <w:rPr>
                <w:bCs/>
                <w:color w:val="auto"/>
                <w:szCs w:val="21"/>
              </w:rPr>
              <w:t>）</w:t>
            </w:r>
          </w:p>
        </w:tc>
        <w:tc>
          <w:tcPr>
            <w:tcW w:w="630" w:type="pct"/>
            <w:tcBorders>
              <w:tl2br w:val="nil"/>
              <w:tr2bl w:val="nil"/>
            </w:tcBorders>
            <w:vAlign w:val="center"/>
          </w:tcPr>
          <w:p>
            <w:pPr>
              <w:pStyle w:val="90"/>
              <w:spacing w:line="360" w:lineRule="auto"/>
              <w:rPr>
                <w:bCs/>
                <w:color w:val="auto"/>
                <w:szCs w:val="21"/>
              </w:rPr>
            </w:pPr>
            <w:r>
              <w:rPr>
                <w:bCs/>
                <w:color w:val="auto"/>
                <w:szCs w:val="21"/>
              </w:rPr>
              <w:t>占标率/%</w:t>
            </w:r>
          </w:p>
        </w:tc>
        <w:tc>
          <w:tcPr>
            <w:tcW w:w="662" w:type="pct"/>
            <w:tcBorders>
              <w:tl2br w:val="nil"/>
              <w:tr2bl w:val="nil"/>
            </w:tcBorders>
            <w:vAlign w:val="center"/>
          </w:tcPr>
          <w:p>
            <w:pPr>
              <w:pStyle w:val="90"/>
              <w:spacing w:line="360" w:lineRule="auto"/>
              <w:rPr>
                <w:bCs/>
                <w:color w:val="auto"/>
                <w:szCs w:val="21"/>
              </w:rPr>
            </w:pPr>
            <w:r>
              <w:rPr>
                <w:bCs/>
                <w:color w:val="auto"/>
                <w:szCs w:val="21"/>
              </w:rPr>
              <w:t>超标率/%</w:t>
            </w:r>
          </w:p>
        </w:tc>
        <w:tc>
          <w:tcPr>
            <w:tcW w:w="640" w:type="pct"/>
            <w:tcBorders>
              <w:tl2br w:val="nil"/>
              <w:tr2bl w:val="nil"/>
            </w:tcBorders>
            <w:vAlign w:val="center"/>
          </w:tcPr>
          <w:p>
            <w:pPr>
              <w:pStyle w:val="90"/>
              <w:spacing w:line="360" w:lineRule="auto"/>
              <w:rPr>
                <w:bCs/>
                <w:color w:val="auto"/>
                <w:szCs w:val="21"/>
              </w:rPr>
            </w:pPr>
            <w:r>
              <w:rPr>
                <w:bCs/>
                <w:color w:val="auto"/>
                <w:szCs w:val="21"/>
              </w:rPr>
              <w:t>达标</w:t>
            </w:r>
          </w:p>
          <w:p>
            <w:pPr>
              <w:pStyle w:val="90"/>
              <w:spacing w:line="360" w:lineRule="auto"/>
              <w:rPr>
                <w:bCs/>
                <w:color w:val="auto"/>
                <w:szCs w:val="21"/>
              </w:rPr>
            </w:pPr>
            <w:r>
              <w:rPr>
                <w:bCs/>
                <w:color w:val="auto"/>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74" w:type="pct"/>
            <w:tcBorders>
              <w:tl2br w:val="nil"/>
              <w:tr2bl w:val="nil"/>
            </w:tcBorders>
            <w:vAlign w:val="center"/>
          </w:tcPr>
          <w:p>
            <w:pPr>
              <w:pStyle w:val="90"/>
              <w:spacing w:line="360" w:lineRule="auto"/>
              <w:rPr>
                <w:bCs/>
                <w:color w:val="auto"/>
                <w:szCs w:val="21"/>
              </w:rPr>
            </w:pPr>
            <w:r>
              <w:rPr>
                <w:bCs/>
                <w:color w:val="auto"/>
                <w:szCs w:val="21"/>
              </w:rPr>
              <w:t>SO</w:t>
            </w:r>
            <w:r>
              <w:rPr>
                <w:bCs/>
                <w:color w:val="auto"/>
                <w:szCs w:val="21"/>
                <w:vertAlign w:val="subscript"/>
              </w:rPr>
              <w:t>2</w:t>
            </w:r>
          </w:p>
        </w:tc>
        <w:tc>
          <w:tcPr>
            <w:tcW w:w="1150" w:type="pct"/>
            <w:tcBorders>
              <w:tl2br w:val="nil"/>
              <w:tr2bl w:val="nil"/>
            </w:tcBorders>
            <w:vAlign w:val="center"/>
          </w:tcPr>
          <w:p>
            <w:pPr>
              <w:pStyle w:val="90"/>
              <w:spacing w:line="360" w:lineRule="auto"/>
              <w:rPr>
                <w:bCs/>
                <w:color w:val="auto"/>
                <w:szCs w:val="21"/>
              </w:rPr>
            </w:pPr>
            <w:r>
              <w:rPr>
                <w:bCs/>
                <w:color w:val="auto"/>
                <w:szCs w:val="21"/>
              </w:rPr>
              <w:t>年均浓度</w:t>
            </w:r>
          </w:p>
        </w:tc>
        <w:tc>
          <w:tcPr>
            <w:tcW w:w="630" w:type="pct"/>
            <w:tcBorders>
              <w:tl2br w:val="nil"/>
              <w:tr2bl w:val="nil"/>
            </w:tcBorders>
            <w:vAlign w:val="center"/>
          </w:tcPr>
          <w:p>
            <w:pPr>
              <w:pStyle w:val="90"/>
              <w:spacing w:line="360" w:lineRule="auto"/>
              <w:rPr>
                <w:bCs/>
                <w:color w:val="auto"/>
                <w:szCs w:val="21"/>
              </w:rPr>
            </w:pPr>
            <w:r>
              <w:rPr>
                <w:bCs/>
                <w:color w:val="auto"/>
                <w:szCs w:val="21"/>
              </w:rPr>
              <w:t>11</w:t>
            </w:r>
          </w:p>
        </w:tc>
        <w:tc>
          <w:tcPr>
            <w:tcW w:w="709" w:type="pct"/>
            <w:tcBorders>
              <w:tl2br w:val="nil"/>
              <w:tr2bl w:val="nil"/>
            </w:tcBorders>
            <w:vAlign w:val="center"/>
          </w:tcPr>
          <w:p>
            <w:pPr>
              <w:pStyle w:val="90"/>
              <w:spacing w:line="360" w:lineRule="auto"/>
              <w:rPr>
                <w:bCs/>
                <w:color w:val="auto"/>
                <w:szCs w:val="21"/>
              </w:rPr>
            </w:pPr>
            <w:r>
              <w:rPr>
                <w:bCs/>
                <w:color w:val="auto"/>
                <w:szCs w:val="21"/>
              </w:rPr>
              <w:t>60</w:t>
            </w:r>
          </w:p>
        </w:tc>
        <w:tc>
          <w:tcPr>
            <w:tcW w:w="1107" w:type="dxa"/>
            <w:tcBorders>
              <w:tl2br w:val="nil"/>
              <w:tr2bl w:val="nil"/>
            </w:tcBorders>
            <w:vAlign w:val="center"/>
          </w:tcPr>
          <w:p>
            <w:pPr>
              <w:pStyle w:val="90"/>
              <w:spacing w:line="360" w:lineRule="auto"/>
              <w:rPr>
                <w:bCs/>
                <w:color w:val="auto"/>
                <w:szCs w:val="21"/>
              </w:rPr>
            </w:pPr>
            <w:r>
              <w:rPr>
                <w:bCs/>
                <w:color w:val="auto"/>
                <w:szCs w:val="21"/>
              </w:rPr>
              <w:t>18.33</w:t>
            </w:r>
          </w:p>
        </w:tc>
        <w:tc>
          <w:tcPr>
            <w:tcW w:w="662" w:type="pct"/>
            <w:tcBorders>
              <w:tl2br w:val="nil"/>
              <w:tr2bl w:val="nil"/>
            </w:tcBorders>
            <w:vAlign w:val="center"/>
          </w:tcPr>
          <w:p>
            <w:pPr>
              <w:pStyle w:val="90"/>
              <w:spacing w:line="360" w:lineRule="auto"/>
              <w:rPr>
                <w:bCs/>
                <w:color w:val="auto"/>
                <w:szCs w:val="21"/>
              </w:rPr>
            </w:pPr>
            <w:r>
              <w:rPr>
                <w:bCs/>
                <w:color w:val="auto"/>
                <w:szCs w:val="21"/>
              </w:rPr>
              <w:t>0</w:t>
            </w:r>
          </w:p>
        </w:tc>
        <w:tc>
          <w:tcPr>
            <w:tcW w:w="640" w:type="pct"/>
            <w:tcBorders>
              <w:tl2br w:val="nil"/>
              <w:tr2bl w:val="nil"/>
            </w:tcBorders>
            <w:vAlign w:val="center"/>
          </w:tcPr>
          <w:p>
            <w:pPr>
              <w:pStyle w:val="90"/>
              <w:spacing w:line="360" w:lineRule="auto"/>
              <w:rPr>
                <w:bCs/>
                <w:color w:val="auto"/>
                <w:szCs w:val="21"/>
              </w:rPr>
            </w:pPr>
            <w:r>
              <w:rPr>
                <w:bCs/>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574" w:type="pct"/>
            <w:tcBorders>
              <w:tl2br w:val="nil"/>
              <w:tr2bl w:val="nil"/>
            </w:tcBorders>
            <w:vAlign w:val="center"/>
          </w:tcPr>
          <w:p>
            <w:pPr>
              <w:pStyle w:val="90"/>
              <w:spacing w:line="360" w:lineRule="auto"/>
              <w:rPr>
                <w:bCs/>
                <w:color w:val="auto"/>
                <w:szCs w:val="21"/>
              </w:rPr>
            </w:pPr>
            <w:r>
              <w:rPr>
                <w:bCs/>
                <w:color w:val="auto"/>
                <w:szCs w:val="21"/>
              </w:rPr>
              <w:t>NO</w:t>
            </w:r>
            <w:r>
              <w:rPr>
                <w:bCs/>
                <w:color w:val="auto"/>
                <w:szCs w:val="21"/>
                <w:vertAlign w:val="subscript"/>
              </w:rPr>
              <w:t>2</w:t>
            </w:r>
          </w:p>
        </w:tc>
        <w:tc>
          <w:tcPr>
            <w:tcW w:w="1150" w:type="pct"/>
            <w:tcBorders>
              <w:tl2br w:val="nil"/>
              <w:tr2bl w:val="nil"/>
            </w:tcBorders>
            <w:vAlign w:val="center"/>
          </w:tcPr>
          <w:p>
            <w:pPr>
              <w:pStyle w:val="90"/>
              <w:spacing w:line="360" w:lineRule="auto"/>
              <w:rPr>
                <w:bCs/>
                <w:color w:val="auto"/>
                <w:szCs w:val="21"/>
              </w:rPr>
            </w:pPr>
            <w:r>
              <w:rPr>
                <w:bCs/>
                <w:color w:val="auto"/>
                <w:szCs w:val="21"/>
              </w:rPr>
              <w:t>年均浓度</w:t>
            </w:r>
          </w:p>
        </w:tc>
        <w:tc>
          <w:tcPr>
            <w:tcW w:w="630" w:type="pct"/>
            <w:tcBorders>
              <w:tl2br w:val="nil"/>
              <w:tr2bl w:val="nil"/>
            </w:tcBorders>
            <w:vAlign w:val="center"/>
          </w:tcPr>
          <w:p>
            <w:pPr>
              <w:pStyle w:val="90"/>
              <w:spacing w:line="360" w:lineRule="auto"/>
              <w:rPr>
                <w:bCs/>
                <w:color w:val="auto"/>
                <w:szCs w:val="21"/>
              </w:rPr>
            </w:pPr>
            <w:r>
              <w:rPr>
                <w:bCs/>
                <w:color w:val="auto"/>
                <w:szCs w:val="21"/>
              </w:rPr>
              <w:t>11</w:t>
            </w:r>
          </w:p>
        </w:tc>
        <w:tc>
          <w:tcPr>
            <w:tcW w:w="709" w:type="pct"/>
            <w:tcBorders>
              <w:tl2br w:val="nil"/>
              <w:tr2bl w:val="nil"/>
            </w:tcBorders>
            <w:vAlign w:val="center"/>
          </w:tcPr>
          <w:p>
            <w:pPr>
              <w:pStyle w:val="90"/>
              <w:spacing w:line="360" w:lineRule="auto"/>
              <w:rPr>
                <w:bCs/>
                <w:color w:val="auto"/>
                <w:szCs w:val="21"/>
              </w:rPr>
            </w:pPr>
            <w:r>
              <w:rPr>
                <w:bCs/>
                <w:color w:val="auto"/>
                <w:szCs w:val="21"/>
              </w:rPr>
              <w:t>40</w:t>
            </w:r>
          </w:p>
        </w:tc>
        <w:tc>
          <w:tcPr>
            <w:tcW w:w="1107" w:type="dxa"/>
            <w:tcBorders>
              <w:tl2br w:val="nil"/>
              <w:tr2bl w:val="nil"/>
            </w:tcBorders>
            <w:vAlign w:val="center"/>
          </w:tcPr>
          <w:p>
            <w:pPr>
              <w:pStyle w:val="90"/>
              <w:spacing w:line="360" w:lineRule="auto"/>
              <w:rPr>
                <w:bCs/>
                <w:color w:val="auto"/>
                <w:szCs w:val="21"/>
              </w:rPr>
            </w:pPr>
            <w:r>
              <w:rPr>
                <w:bCs/>
                <w:color w:val="auto"/>
                <w:szCs w:val="21"/>
              </w:rPr>
              <w:t>27.50</w:t>
            </w:r>
          </w:p>
        </w:tc>
        <w:tc>
          <w:tcPr>
            <w:tcW w:w="662" w:type="pct"/>
            <w:tcBorders>
              <w:tl2br w:val="nil"/>
              <w:tr2bl w:val="nil"/>
            </w:tcBorders>
            <w:vAlign w:val="center"/>
          </w:tcPr>
          <w:p>
            <w:pPr>
              <w:pStyle w:val="90"/>
              <w:spacing w:line="360" w:lineRule="auto"/>
              <w:rPr>
                <w:bCs/>
                <w:color w:val="auto"/>
                <w:szCs w:val="21"/>
              </w:rPr>
            </w:pPr>
            <w:r>
              <w:rPr>
                <w:bCs/>
                <w:color w:val="auto"/>
                <w:szCs w:val="21"/>
              </w:rPr>
              <w:t>0</w:t>
            </w:r>
          </w:p>
        </w:tc>
        <w:tc>
          <w:tcPr>
            <w:tcW w:w="640" w:type="pct"/>
            <w:tcBorders>
              <w:tl2br w:val="nil"/>
              <w:tr2bl w:val="nil"/>
            </w:tcBorders>
            <w:vAlign w:val="center"/>
          </w:tcPr>
          <w:p>
            <w:pPr>
              <w:pStyle w:val="90"/>
              <w:spacing w:line="360" w:lineRule="auto"/>
              <w:rPr>
                <w:bCs/>
                <w:color w:val="auto"/>
                <w:szCs w:val="21"/>
              </w:rPr>
            </w:pPr>
            <w:r>
              <w:rPr>
                <w:bCs/>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4" w:type="pct"/>
            <w:tcBorders>
              <w:tl2br w:val="nil"/>
              <w:tr2bl w:val="nil"/>
            </w:tcBorders>
            <w:vAlign w:val="center"/>
          </w:tcPr>
          <w:p>
            <w:pPr>
              <w:pStyle w:val="90"/>
              <w:spacing w:line="360" w:lineRule="auto"/>
              <w:rPr>
                <w:bCs/>
                <w:color w:val="auto"/>
                <w:szCs w:val="21"/>
              </w:rPr>
            </w:pPr>
            <w:r>
              <w:rPr>
                <w:bCs/>
                <w:color w:val="auto"/>
                <w:szCs w:val="21"/>
              </w:rPr>
              <w:t>PM</w:t>
            </w:r>
            <w:r>
              <w:rPr>
                <w:bCs/>
                <w:color w:val="auto"/>
                <w:szCs w:val="21"/>
                <w:vertAlign w:val="subscript"/>
              </w:rPr>
              <w:t>10</w:t>
            </w:r>
          </w:p>
        </w:tc>
        <w:tc>
          <w:tcPr>
            <w:tcW w:w="1150" w:type="pct"/>
            <w:tcBorders>
              <w:tl2br w:val="nil"/>
              <w:tr2bl w:val="nil"/>
            </w:tcBorders>
            <w:vAlign w:val="center"/>
          </w:tcPr>
          <w:p>
            <w:pPr>
              <w:pStyle w:val="90"/>
              <w:spacing w:line="360" w:lineRule="auto"/>
              <w:rPr>
                <w:bCs/>
                <w:color w:val="auto"/>
                <w:szCs w:val="21"/>
              </w:rPr>
            </w:pPr>
            <w:r>
              <w:rPr>
                <w:bCs/>
                <w:color w:val="auto"/>
                <w:szCs w:val="21"/>
              </w:rPr>
              <w:t>年均浓度</w:t>
            </w:r>
          </w:p>
        </w:tc>
        <w:tc>
          <w:tcPr>
            <w:tcW w:w="630" w:type="pct"/>
            <w:tcBorders>
              <w:tl2br w:val="nil"/>
              <w:tr2bl w:val="nil"/>
            </w:tcBorders>
            <w:vAlign w:val="center"/>
          </w:tcPr>
          <w:p>
            <w:pPr>
              <w:pStyle w:val="90"/>
              <w:spacing w:line="360" w:lineRule="auto"/>
              <w:rPr>
                <w:bCs/>
                <w:color w:val="auto"/>
                <w:szCs w:val="21"/>
              </w:rPr>
            </w:pPr>
            <w:r>
              <w:rPr>
                <w:bCs/>
                <w:color w:val="auto"/>
                <w:szCs w:val="21"/>
              </w:rPr>
              <w:t>36</w:t>
            </w:r>
          </w:p>
        </w:tc>
        <w:tc>
          <w:tcPr>
            <w:tcW w:w="709" w:type="pct"/>
            <w:tcBorders>
              <w:tl2br w:val="nil"/>
              <w:tr2bl w:val="nil"/>
            </w:tcBorders>
            <w:vAlign w:val="center"/>
          </w:tcPr>
          <w:p>
            <w:pPr>
              <w:pStyle w:val="90"/>
              <w:spacing w:line="360" w:lineRule="auto"/>
              <w:rPr>
                <w:bCs/>
                <w:color w:val="auto"/>
                <w:szCs w:val="21"/>
              </w:rPr>
            </w:pPr>
            <w:r>
              <w:rPr>
                <w:bCs/>
                <w:color w:val="auto"/>
                <w:szCs w:val="21"/>
              </w:rPr>
              <w:t>70</w:t>
            </w:r>
          </w:p>
        </w:tc>
        <w:tc>
          <w:tcPr>
            <w:tcW w:w="1107" w:type="dxa"/>
            <w:tcBorders>
              <w:tl2br w:val="nil"/>
              <w:tr2bl w:val="nil"/>
            </w:tcBorders>
            <w:vAlign w:val="center"/>
          </w:tcPr>
          <w:p>
            <w:pPr>
              <w:pStyle w:val="90"/>
              <w:spacing w:line="360" w:lineRule="auto"/>
              <w:rPr>
                <w:bCs/>
                <w:color w:val="auto"/>
                <w:szCs w:val="21"/>
              </w:rPr>
            </w:pPr>
            <w:r>
              <w:rPr>
                <w:bCs/>
                <w:color w:val="auto"/>
                <w:szCs w:val="21"/>
              </w:rPr>
              <w:t>51.43</w:t>
            </w:r>
          </w:p>
        </w:tc>
        <w:tc>
          <w:tcPr>
            <w:tcW w:w="662" w:type="pct"/>
            <w:tcBorders>
              <w:tl2br w:val="nil"/>
              <w:tr2bl w:val="nil"/>
            </w:tcBorders>
            <w:vAlign w:val="center"/>
          </w:tcPr>
          <w:p>
            <w:pPr>
              <w:pStyle w:val="90"/>
              <w:spacing w:line="360" w:lineRule="auto"/>
              <w:rPr>
                <w:bCs/>
                <w:color w:val="auto"/>
                <w:szCs w:val="21"/>
              </w:rPr>
            </w:pPr>
            <w:r>
              <w:rPr>
                <w:bCs/>
                <w:color w:val="auto"/>
                <w:szCs w:val="21"/>
              </w:rPr>
              <w:t>0</w:t>
            </w:r>
          </w:p>
        </w:tc>
        <w:tc>
          <w:tcPr>
            <w:tcW w:w="640" w:type="pct"/>
            <w:tcBorders>
              <w:tl2br w:val="nil"/>
              <w:tr2bl w:val="nil"/>
            </w:tcBorders>
            <w:vAlign w:val="center"/>
          </w:tcPr>
          <w:p>
            <w:pPr>
              <w:pStyle w:val="90"/>
              <w:spacing w:line="360" w:lineRule="auto"/>
              <w:rPr>
                <w:bCs/>
                <w:color w:val="auto"/>
                <w:szCs w:val="21"/>
              </w:rPr>
            </w:pPr>
            <w:r>
              <w:rPr>
                <w:bCs/>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74" w:type="pct"/>
            <w:tcBorders>
              <w:tl2br w:val="nil"/>
              <w:tr2bl w:val="nil"/>
            </w:tcBorders>
            <w:vAlign w:val="center"/>
          </w:tcPr>
          <w:p>
            <w:pPr>
              <w:pStyle w:val="90"/>
              <w:spacing w:line="360" w:lineRule="auto"/>
              <w:rPr>
                <w:bCs/>
                <w:color w:val="auto"/>
                <w:szCs w:val="21"/>
              </w:rPr>
            </w:pPr>
            <w:r>
              <w:rPr>
                <w:bCs/>
                <w:color w:val="auto"/>
                <w:szCs w:val="21"/>
              </w:rPr>
              <w:t>PM</w:t>
            </w:r>
            <w:r>
              <w:rPr>
                <w:bCs/>
                <w:color w:val="auto"/>
                <w:szCs w:val="21"/>
                <w:vertAlign w:val="subscript"/>
              </w:rPr>
              <w:t>2.5</w:t>
            </w:r>
          </w:p>
        </w:tc>
        <w:tc>
          <w:tcPr>
            <w:tcW w:w="1150" w:type="pct"/>
            <w:tcBorders>
              <w:tl2br w:val="nil"/>
              <w:tr2bl w:val="nil"/>
            </w:tcBorders>
            <w:vAlign w:val="center"/>
          </w:tcPr>
          <w:p>
            <w:pPr>
              <w:pStyle w:val="90"/>
              <w:spacing w:line="360" w:lineRule="auto"/>
              <w:rPr>
                <w:bCs/>
                <w:color w:val="auto"/>
                <w:szCs w:val="21"/>
              </w:rPr>
            </w:pPr>
            <w:r>
              <w:rPr>
                <w:bCs/>
                <w:color w:val="auto"/>
                <w:szCs w:val="21"/>
              </w:rPr>
              <w:t>年均浓度</w:t>
            </w:r>
          </w:p>
        </w:tc>
        <w:tc>
          <w:tcPr>
            <w:tcW w:w="630" w:type="pct"/>
            <w:tcBorders>
              <w:tl2br w:val="nil"/>
              <w:tr2bl w:val="nil"/>
            </w:tcBorders>
            <w:vAlign w:val="center"/>
          </w:tcPr>
          <w:p>
            <w:pPr>
              <w:pStyle w:val="90"/>
              <w:spacing w:line="360" w:lineRule="auto"/>
              <w:rPr>
                <w:bCs/>
                <w:color w:val="auto"/>
                <w:szCs w:val="21"/>
              </w:rPr>
            </w:pPr>
            <w:r>
              <w:rPr>
                <w:bCs/>
                <w:color w:val="auto"/>
                <w:szCs w:val="21"/>
              </w:rPr>
              <w:t>18</w:t>
            </w:r>
          </w:p>
        </w:tc>
        <w:tc>
          <w:tcPr>
            <w:tcW w:w="709" w:type="pct"/>
            <w:tcBorders>
              <w:tl2br w:val="nil"/>
              <w:tr2bl w:val="nil"/>
            </w:tcBorders>
            <w:vAlign w:val="center"/>
          </w:tcPr>
          <w:p>
            <w:pPr>
              <w:pStyle w:val="90"/>
              <w:spacing w:line="360" w:lineRule="auto"/>
              <w:rPr>
                <w:bCs/>
                <w:color w:val="auto"/>
                <w:szCs w:val="21"/>
              </w:rPr>
            </w:pPr>
            <w:r>
              <w:rPr>
                <w:bCs/>
                <w:color w:val="auto"/>
                <w:szCs w:val="21"/>
              </w:rPr>
              <w:t>35</w:t>
            </w:r>
          </w:p>
        </w:tc>
        <w:tc>
          <w:tcPr>
            <w:tcW w:w="1107" w:type="dxa"/>
            <w:tcBorders>
              <w:tl2br w:val="nil"/>
              <w:tr2bl w:val="nil"/>
            </w:tcBorders>
            <w:vAlign w:val="center"/>
          </w:tcPr>
          <w:p>
            <w:pPr>
              <w:pStyle w:val="90"/>
              <w:spacing w:line="360" w:lineRule="auto"/>
              <w:rPr>
                <w:bCs/>
                <w:color w:val="auto"/>
                <w:szCs w:val="21"/>
              </w:rPr>
            </w:pPr>
            <w:r>
              <w:rPr>
                <w:bCs/>
                <w:color w:val="auto"/>
                <w:szCs w:val="21"/>
              </w:rPr>
              <w:t>51.43</w:t>
            </w:r>
          </w:p>
        </w:tc>
        <w:tc>
          <w:tcPr>
            <w:tcW w:w="662" w:type="pct"/>
            <w:tcBorders>
              <w:tl2br w:val="nil"/>
              <w:tr2bl w:val="nil"/>
            </w:tcBorders>
            <w:vAlign w:val="center"/>
          </w:tcPr>
          <w:p>
            <w:pPr>
              <w:pStyle w:val="90"/>
              <w:spacing w:line="360" w:lineRule="auto"/>
              <w:rPr>
                <w:bCs/>
                <w:color w:val="auto"/>
                <w:szCs w:val="21"/>
              </w:rPr>
            </w:pPr>
            <w:r>
              <w:rPr>
                <w:bCs/>
                <w:color w:val="auto"/>
                <w:szCs w:val="21"/>
              </w:rPr>
              <w:t>0</w:t>
            </w:r>
          </w:p>
        </w:tc>
        <w:tc>
          <w:tcPr>
            <w:tcW w:w="640" w:type="pct"/>
            <w:tcBorders>
              <w:tl2br w:val="nil"/>
              <w:tr2bl w:val="nil"/>
            </w:tcBorders>
            <w:vAlign w:val="center"/>
          </w:tcPr>
          <w:p>
            <w:pPr>
              <w:pStyle w:val="90"/>
              <w:spacing w:line="360" w:lineRule="auto"/>
              <w:rPr>
                <w:bCs/>
                <w:color w:val="auto"/>
                <w:szCs w:val="21"/>
              </w:rPr>
            </w:pPr>
            <w:r>
              <w:rPr>
                <w:bCs/>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4" w:type="pct"/>
            <w:tcBorders>
              <w:tl2br w:val="nil"/>
              <w:tr2bl w:val="nil"/>
            </w:tcBorders>
            <w:vAlign w:val="center"/>
          </w:tcPr>
          <w:p>
            <w:pPr>
              <w:pStyle w:val="90"/>
              <w:spacing w:line="360" w:lineRule="auto"/>
              <w:rPr>
                <w:bCs/>
                <w:color w:val="auto"/>
                <w:szCs w:val="21"/>
              </w:rPr>
            </w:pPr>
            <w:r>
              <w:rPr>
                <w:bCs/>
                <w:color w:val="auto"/>
                <w:szCs w:val="21"/>
              </w:rPr>
              <w:t>CO</w:t>
            </w:r>
          </w:p>
        </w:tc>
        <w:tc>
          <w:tcPr>
            <w:tcW w:w="1150" w:type="pct"/>
            <w:tcBorders>
              <w:tl2br w:val="nil"/>
              <w:tr2bl w:val="nil"/>
            </w:tcBorders>
            <w:vAlign w:val="center"/>
          </w:tcPr>
          <w:p>
            <w:pPr>
              <w:pStyle w:val="90"/>
              <w:spacing w:line="360" w:lineRule="auto"/>
              <w:rPr>
                <w:bCs/>
                <w:color w:val="auto"/>
                <w:szCs w:val="21"/>
              </w:rPr>
            </w:pPr>
            <w:r>
              <w:rPr>
                <w:bCs/>
                <w:color w:val="auto"/>
                <w:szCs w:val="21"/>
              </w:rPr>
              <w:t>24小时平均</w:t>
            </w:r>
          </w:p>
          <w:p>
            <w:pPr>
              <w:pStyle w:val="90"/>
              <w:spacing w:line="360" w:lineRule="auto"/>
              <w:rPr>
                <w:bCs/>
                <w:color w:val="auto"/>
                <w:szCs w:val="21"/>
              </w:rPr>
            </w:pPr>
            <w:r>
              <w:rPr>
                <w:bCs/>
                <w:color w:val="auto"/>
                <w:szCs w:val="21"/>
              </w:rPr>
              <w:t>第95百分位数</w:t>
            </w:r>
          </w:p>
        </w:tc>
        <w:tc>
          <w:tcPr>
            <w:tcW w:w="630" w:type="pct"/>
            <w:tcBorders>
              <w:tl2br w:val="nil"/>
              <w:tr2bl w:val="nil"/>
            </w:tcBorders>
            <w:vAlign w:val="center"/>
          </w:tcPr>
          <w:p>
            <w:pPr>
              <w:pStyle w:val="90"/>
              <w:spacing w:line="360" w:lineRule="auto"/>
              <w:rPr>
                <w:bCs/>
                <w:color w:val="auto"/>
                <w:szCs w:val="21"/>
              </w:rPr>
            </w:pPr>
            <w:r>
              <w:rPr>
                <w:bCs/>
                <w:color w:val="auto"/>
                <w:szCs w:val="21"/>
              </w:rPr>
              <w:t>800</w:t>
            </w:r>
          </w:p>
        </w:tc>
        <w:tc>
          <w:tcPr>
            <w:tcW w:w="709" w:type="pct"/>
            <w:tcBorders>
              <w:tl2br w:val="nil"/>
              <w:tr2bl w:val="nil"/>
            </w:tcBorders>
            <w:vAlign w:val="center"/>
          </w:tcPr>
          <w:p>
            <w:pPr>
              <w:pStyle w:val="90"/>
              <w:spacing w:line="360" w:lineRule="auto"/>
              <w:rPr>
                <w:bCs/>
                <w:color w:val="auto"/>
                <w:szCs w:val="21"/>
              </w:rPr>
            </w:pPr>
            <w:r>
              <w:rPr>
                <w:bCs/>
                <w:color w:val="auto"/>
                <w:szCs w:val="21"/>
              </w:rPr>
              <w:t>4000</w:t>
            </w:r>
          </w:p>
        </w:tc>
        <w:tc>
          <w:tcPr>
            <w:tcW w:w="1107" w:type="dxa"/>
            <w:tcBorders>
              <w:tl2br w:val="nil"/>
              <w:tr2bl w:val="nil"/>
            </w:tcBorders>
            <w:vAlign w:val="center"/>
          </w:tcPr>
          <w:p>
            <w:pPr>
              <w:pStyle w:val="90"/>
              <w:spacing w:line="360" w:lineRule="auto"/>
              <w:rPr>
                <w:bCs/>
                <w:color w:val="auto"/>
                <w:szCs w:val="21"/>
              </w:rPr>
            </w:pPr>
            <w:r>
              <w:rPr>
                <w:bCs/>
                <w:color w:val="auto"/>
                <w:szCs w:val="21"/>
              </w:rPr>
              <w:t>20.00</w:t>
            </w:r>
          </w:p>
        </w:tc>
        <w:tc>
          <w:tcPr>
            <w:tcW w:w="662" w:type="pct"/>
            <w:tcBorders>
              <w:tl2br w:val="nil"/>
              <w:tr2bl w:val="nil"/>
            </w:tcBorders>
            <w:vAlign w:val="center"/>
          </w:tcPr>
          <w:p>
            <w:pPr>
              <w:pStyle w:val="90"/>
              <w:spacing w:line="360" w:lineRule="auto"/>
              <w:rPr>
                <w:bCs/>
                <w:color w:val="auto"/>
                <w:szCs w:val="21"/>
              </w:rPr>
            </w:pPr>
            <w:r>
              <w:rPr>
                <w:bCs/>
                <w:color w:val="auto"/>
                <w:szCs w:val="21"/>
              </w:rPr>
              <w:t>/</w:t>
            </w:r>
          </w:p>
        </w:tc>
        <w:tc>
          <w:tcPr>
            <w:tcW w:w="640" w:type="pct"/>
            <w:tcBorders>
              <w:tl2br w:val="nil"/>
              <w:tr2bl w:val="nil"/>
            </w:tcBorders>
            <w:vAlign w:val="center"/>
          </w:tcPr>
          <w:p>
            <w:pPr>
              <w:pStyle w:val="90"/>
              <w:spacing w:line="360" w:lineRule="auto"/>
              <w:rPr>
                <w:bCs/>
                <w:color w:val="auto"/>
                <w:szCs w:val="21"/>
              </w:rPr>
            </w:pPr>
            <w:r>
              <w:rPr>
                <w:bCs/>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4" w:type="pct"/>
            <w:tcBorders>
              <w:tl2br w:val="nil"/>
              <w:tr2bl w:val="nil"/>
            </w:tcBorders>
            <w:vAlign w:val="center"/>
          </w:tcPr>
          <w:p>
            <w:pPr>
              <w:pStyle w:val="90"/>
              <w:spacing w:line="360" w:lineRule="auto"/>
              <w:rPr>
                <w:bCs/>
                <w:color w:val="auto"/>
                <w:szCs w:val="21"/>
              </w:rPr>
            </w:pPr>
            <w:r>
              <w:rPr>
                <w:bCs/>
                <w:color w:val="auto"/>
                <w:szCs w:val="21"/>
              </w:rPr>
              <w:t>O</w:t>
            </w:r>
            <w:r>
              <w:rPr>
                <w:bCs/>
                <w:color w:val="auto"/>
                <w:szCs w:val="21"/>
                <w:vertAlign w:val="subscript"/>
              </w:rPr>
              <w:t>3</w:t>
            </w:r>
          </w:p>
        </w:tc>
        <w:tc>
          <w:tcPr>
            <w:tcW w:w="1150" w:type="pct"/>
            <w:tcBorders>
              <w:tl2br w:val="nil"/>
              <w:tr2bl w:val="nil"/>
            </w:tcBorders>
            <w:vAlign w:val="center"/>
          </w:tcPr>
          <w:p>
            <w:pPr>
              <w:pStyle w:val="90"/>
              <w:spacing w:line="360" w:lineRule="auto"/>
              <w:rPr>
                <w:bCs/>
                <w:color w:val="auto"/>
                <w:szCs w:val="21"/>
              </w:rPr>
            </w:pPr>
            <w:r>
              <w:rPr>
                <w:bCs/>
                <w:color w:val="auto"/>
                <w:szCs w:val="21"/>
              </w:rPr>
              <w:t>最大8小时平均</w:t>
            </w:r>
          </w:p>
          <w:p>
            <w:pPr>
              <w:pStyle w:val="90"/>
              <w:spacing w:line="360" w:lineRule="auto"/>
              <w:rPr>
                <w:bCs/>
                <w:color w:val="auto"/>
                <w:szCs w:val="21"/>
              </w:rPr>
            </w:pPr>
            <w:r>
              <w:rPr>
                <w:bCs/>
                <w:color w:val="auto"/>
                <w:szCs w:val="21"/>
              </w:rPr>
              <w:t>第90百分位数</w:t>
            </w:r>
          </w:p>
        </w:tc>
        <w:tc>
          <w:tcPr>
            <w:tcW w:w="630" w:type="pct"/>
            <w:tcBorders>
              <w:tl2br w:val="nil"/>
              <w:tr2bl w:val="nil"/>
            </w:tcBorders>
            <w:vAlign w:val="center"/>
          </w:tcPr>
          <w:p>
            <w:pPr>
              <w:pStyle w:val="90"/>
              <w:spacing w:line="360" w:lineRule="auto"/>
              <w:rPr>
                <w:bCs/>
                <w:color w:val="auto"/>
                <w:szCs w:val="21"/>
              </w:rPr>
            </w:pPr>
            <w:r>
              <w:rPr>
                <w:bCs/>
                <w:color w:val="auto"/>
                <w:szCs w:val="21"/>
              </w:rPr>
              <w:t>133</w:t>
            </w:r>
          </w:p>
        </w:tc>
        <w:tc>
          <w:tcPr>
            <w:tcW w:w="709" w:type="pct"/>
            <w:tcBorders>
              <w:tl2br w:val="nil"/>
              <w:tr2bl w:val="nil"/>
            </w:tcBorders>
            <w:vAlign w:val="center"/>
          </w:tcPr>
          <w:p>
            <w:pPr>
              <w:pStyle w:val="90"/>
              <w:spacing w:line="360" w:lineRule="auto"/>
              <w:rPr>
                <w:bCs/>
                <w:color w:val="auto"/>
                <w:szCs w:val="21"/>
              </w:rPr>
            </w:pPr>
            <w:r>
              <w:rPr>
                <w:bCs/>
                <w:color w:val="auto"/>
                <w:szCs w:val="21"/>
              </w:rPr>
              <w:t>160</w:t>
            </w:r>
          </w:p>
        </w:tc>
        <w:tc>
          <w:tcPr>
            <w:tcW w:w="1107" w:type="dxa"/>
            <w:tcBorders>
              <w:tl2br w:val="nil"/>
              <w:tr2bl w:val="nil"/>
            </w:tcBorders>
            <w:vAlign w:val="center"/>
          </w:tcPr>
          <w:p>
            <w:pPr>
              <w:pStyle w:val="90"/>
              <w:spacing w:line="360" w:lineRule="auto"/>
              <w:rPr>
                <w:bCs/>
                <w:color w:val="auto"/>
                <w:szCs w:val="21"/>
              </w:rPr>
            </w:pPr>
            <w:r>
              <w:rPr>
                <w:bCs/>
                <w:color w:val="auto"/>
                <w:szCs w:val="21"/>
              </w:rPr>
              <w:t>83.13</w:t>
            </w:r>
          </w:p>
        </w:tc>
        <w:tc>
          <w:tcPr>
            <w:tcW w:w="662" w:type="pct"/>
            <w:tcBorders>
              <w:tl2br w:val="nil"/>
              <w:tr2bl w:val="nil"/>
            </w:tcBorders>
            <w:vAlign w:val="center"/>
          </w:tcPr>
          <w:p>
            <w:pPr>
              <w:pStyle w:val="90"/>
              <w:spacing w:line="360" w:lineRule="auto"/>
              <w:rPr>
                <w:bCs/>
                <w:color w:val="auto"/>
                <w:szCs w:val="21"/>
              </w:rPr>
            </w:pPr>
            <w:r>
              <w:rPr>
                <w:bCs/>
                <w:color w:val="auto"/>
                <w:szCs w:val="21"/>
              </w:rPr>
              <w:t>/</w:t>
            </w:r>
          </w:p>
        </w:tc>
        <w:tc>
          <w:tcPr>
            <w:tcW w:w="640" w:type="pct"/>
            <w:tcBorders>
              <w:tl2br w:val="nil"/>
              <w:tr2bl w:val="nil"/>
            </w:tcBorders>
            <w:vAlign w:val="center"/>
          </w:tcPr>
          <w:p>
            <w:pPr>
              <w:pStyle w:val="90"/>
              <w:spacing w:line="360" w:lineRule="auto"/>
              <w:rPr>
                <w:bCs/>
                <w:color w:val="auto"/>
                <w:szCs w:val="21"/>
              </w:rPr>
            </w:pPr>
            <w:r>
              <w:rPr>
                <w:bCs/>
                <w:color w:val="auto"/>
                <w:szCs w:val="21"/>
              </w:rPr>
              <w:t>达标</w:t>
            </w:r>
          </w:p>
        </w:tc>
      </w:tr>
    </w:tbl>
    <w:p>
      <w:pPr>
        <w:ind w:firstLine="480"/>
        <w:jc w:val="left"/>
        <w:rPr>
          <w:color w:val="auto"/>
        </w:rPr>
      </w:pPr>
      <w:r>
        <w:rPr>
          <w:color w:val="auto"/>
        </w:rPr>
        <w:t>海南藏族自治州2023年SO</w:t>
      </w:r>
      <w:r>
        <w:rPr>
          <w:color w:val="auto"/>
          <w:vertAlign w:val="subscript"/>
        </w:rPr>
        <w:t>2</w:t>
      </w:r>
      <w:r>
        <w:rPr>
          <w:color w:val="auto"/>
        </w:rPr>
        <w:t>、NO</w:t>
      </w:r>
      <w:r>
        <w:rPr>
          <w:color w:val="auto"/>
          <w:vertAlign w:val="subscript"/>
        </w:rPr>
        <w:t>2</w:t>
      </w:r>
      <w:r>
        <w:rPr>
          <w:color w:val="auto"/>
        </w:rPr>
        <w:t>、PM</w:t>
      </w:r>
      <w:r>
        <w:rPr>
          <w:color w:val="auto"/>
          <w:vertAlign w:val="subscript"/>
        </w:rPr>
        <w:t>10</w:t>
      </w:r>
      <w:r>
        <w:rPr>
          <w:color w:val="auto"/>
        </w:rPr>
        <w:t>、PM</w:t>
      </w:r>
      <w:r>
        <w:rPr>
          <w:color w:val="auto"/>
          <w:vertAlign w:val="subscript"/>
        </w:rPr>
        <w:t>2.5</w:t>
      </w:r>
      <w:r>
        <w:rPr>
          <w:color w:val="auto"/>
        </w:rPr>
        <w:t>年均浓度分别为11ug/m</w:t>
      </w:r>
      <w:r>
        <w:rPr>
          <w:color w:val="auto"/>
          <w:vertAlign w:val="superscript"/>
        </w:rPr>
        <w:t>3</w:t>
      </w:r>
      <w:r>
        <w:rPr>
          <w:color w:val="auto"/>
        </w:rPr>
        <w:t>、11ug/m</w:t>
      </w:r>
      <w:r>
        <w:rPr>
          <w:color w:val="auto"/>
          <w:vertAlign w:val="superscript"/>
        </w:rPr>
        <w:t>3</w:t>
      </w:r>
      <w:r>
        <w:rPr>
          <w:color w:val="auto"/>
        </w:rPr>
        <w:t>、36ug/m</w:t>
      </w:r>
      <w:r>
        <w:rPr>
          <w:color w:val="auto"/>
          <w:vertAlign w:val="superscript"/>
        </w:rPr>
        <w:t>3</w:t>
      </w:r>
      <w:r>
        <w:rPr>
          <w:color w:val="auto"/>
        </w:rPr>
        <w:t>、18ug/m</w:t>
      </w:r>
      <w:r>
        <w:rPr>
          <w:color w:val="auto"/>
          <w:vertAlign w:val="superscript"/>
        </w:rPr>
        <w:t>3</w:t>
      </w:r>
      <w:r>
        <w:rPr>
          <w:color w:val="auto"/>
        </w:rPr>
        <w:t>；CO24小时平均第95百分位数为0.8mg/m</w:t>
      </w:r>
      <w:r>
        <w:rPr>
          <w:color w:val="auto"/>
          <w:vertAlign w:val="superscript"/>
        </w:rPr>
        <w:t>3</w:t>
      </w:r>
      <w:r>
        <w:rPr>
          <w:color w:val="auto"/>
        </w:rPr>
        <w:t>，O3日最大8小时平均第90百分位数为133ug/m</w:t>
      </w:r>
      <w:r>
        <w:rPr>
          <w:color w:val="auto"/>
          <w:vertAlign w:val="superscript"/>
        </w:rPr>
        <w:t>3</w:t>
      </w:r>
      <w:r>
        <w:rPr>
          <w:color w:val="auto"/>
        </w:rPr>
        <w:t>；各污染物平均浓度均优于《环境空气质量标准》（GB3095-2012）中二级标准限值，该区域属于达标区。</w:t>
      </w:r>
    </w:p>
    <w:p>
      <w:pPr>
        <w:pStyle w:val="5"/>
        <w:tabs>
          <w:tab w:val="left" w:pos="3949"/>
        </w:tabs>
        <w:ind w:firstLine="281"/>
        <w:rPr>
          <w:color w:val="auto"/>
        </w:rPr>
      </w:pPr>
      <w:r>
        <w:rPr>
          <w:rFonts w:hint="eastAsia"/>
          <w:color w:val="auto"/>
        </w:rPr>
        <w:t>3.2特征污染物</w:t>
      </w:r>
    </w:p>
    <w:p>
      <w:pPr>
        <w:ind w:firstLine="480"/>
        <w:rPr>
          <w:color w:val="auto"/>
        </w:rPr>
      </w:pPr>
      <w:r>
        <w:rPr>
          <w:rFonts w:hint="eastAsia"/>
          <w:color w:val="auto"/>
        </w:rPr>
        <w:t>本项目特征污染物为苯并芘，苯并芘委托进行青海柏朗检测科技有限公司检测（详见附件）</w:t>
      </w:r>
      <w:r>
        <w:rPr>
          <w:rFonts w:hint="eastAsia"/>
          <w:color w:val="auto"/>
          <w:lang w:eastAsia="zh-CN"/>
        </w:rPr>
        <w:t>，</w:t>
      </w:r>
      <w:r>
        <w:rPr>
          <w:rFonts w:hint="eastAsia"/>
          <w:color w:val="auto"/>
          <w:lang w:val="en-US" w:eastAsia="zh-CN"/>
        </w:rPr>
        <w:t>监测点位为项目区内，监测时间为</w:t>
      </w:r>
      <w:r>
        <w:rPr>
          <w:rFonts w:hint="eastAsia"/>
          <w:color w:val="auto"/>
        </w:rPr>
        <w:t>2025年4月28日～2025年4月30日。</w:t>
      </w:r>
    </w:p>
    <w:p>
      <w:pPr>
        <w:ind w:firstLine="480"/>
        <w:rPr>
          <w:color w:val="auto"/>
        </w:rPr>
      </w:pPr>
      <w:r>
        <w:rPr>
          <w:rFonts w:hint="eastAsia"/>
          <w:color w:val="auto"/>
        </w:rPr>
        <w:t>根据监测统计结果可知：监测点位中苯并芘未检出，能满足《环境空气质量标准》(GB3095-2012)中的二级标准</w:t>
      </w:r>
      <w:r>
        <w:rPr>
          <w:rFonts w:hint="eastAsia"/>
          <w:color w:val="auto"/>
          <w:lang w:eastAsia="zh-CN"/>
        </w:rPr>
        <w:t>。</w:t>
      </w:r>
    </w:p>
    <w:p>
      <w:pPr>
        <w:pStyle w:val="4"/>
        <w:rPr>
          <w:color w:val="auto"/>
        </w:rPr>
      </w:pPr>
      <w:r>
        <w:rPr>
          <w:color w:val="auto"/>
        </w:rPr>
        <w:t>4 污染防治措施可行性分析</w:t>
      </w:r>
    </w:p>
    <w:p>
      <w:pPr>
        <w:ind w:firstLine="480"/>
        <w:rPr>
          <w:color w:val="auto"/>
        </w:rPr>
      </w:pPr>
      <w:r>
        <w:rPr>
          <w:color w:val="auto"/>
        </w:rPr>
        <w:t>污染防治措施的可行性可对照根据《排污许可证申请与核发技术规范石墨及其他 非金属矿物制品制造》（HJ1119-2020）</w:t>
      </w:r>
      <w:r>
        <w:rPr>
          <w:rFonts w:hint="eastAsia"/>
          <w:color w:val="auto"/>
        </w:rPr>
        <w:t>及《污染源源强核算技术指南水泥工业》（HJ886-2018）要求，</w:t>
      </w:r>
      <w:r>
        <w:rPr>
          <w:color w:val="auto"/>
        </w:rPr>
        <w:t>本项目废气处理 设施的可行性技术分析情况见下表。</w:t>
      </w:r>
    </w:p>
    <w:p>
      <w:pPr>
        <w:ind w:firstLine="0" w:firstLineChars="0"/>
        <w:jc w:val="center"/>
        <w:rPr>
          <w:b/>
          <w:bCs/>
          <w:color w:val="auto"/>
        </w:rPr>
      </w:pPr>
      <w:r>
        <w:rPr>
          <w:b/>
          <w:bCs/>
          <w:color w:val="auto"/>
        </w:rPr>
        <w:t>表 4-1    废气治理设施的可行性分析</w:t>
      </w:r>
    </w:p>
    <w:tbl>
      <w:tblPr>
        <w:tblStyle w:val="61"/>
        <w:tblW w:w="883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83"/>
        <w:gridCol w:w="2330"/>
        <w:gridCol w:w="3660"/>
        <w:gridCol w:w="86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jc w:val="center"/>
        </w:trPr>
        <w:tc>
          <w:tcPr>
            <w:tcW w:w="4313" w:type="dxa"/>
            <w:gridSpan w:val="2"/>
            <w:tcBorders>
              <w:bottom w:val="single" w:color="000000" w:sz="2" w:space="0"/>
            </w:tcBorders>
            <w:vAlign w:val="center"/>
          </w:tcPr>
          <w:p>
            <w:pPr>
              <w:ind w:firstLine="0" w:firstLineChars="0"/>
              <w:jc w:val="center"/>
              <w:rPr>
                <w:color w:val="auto"/>
                <w:sz w:val="21"/>
                <w:szCs w:val="21"/>
              </w:rPr>
            </w:pPr>
            <w:r>
              <w:rPr>
                <w:color w:val="auto"/>
                <w:sz w:val="21"/>
                <w:szCs w:val="21"/>
              </w:rPr>
              <w:t>项目情况</w:t>
            </w:r>
          </w:p>
        </w:tc>
        <w:tc>
          <w:tcPr>
            <w:tcW w:w="3660" w:type="dxa"/>
            <w:tcBorders>
              <w:bottom w:val="single" w:color="000000" w:sz="2" w:space="0"/>
            </w:tcBorders>
            <w:vAlign w:val="center"/>
          </w:tcPr>
          <w:p>
            <w:pPr>
              <w:ind w:firstLine="0" w:firstLineChars="0"/>
              <w:rPr>
                <w:color w:val="auto"/>
                <w:sz w:val="21"/>
                <w:szCs w:val="21"/>
              </w:rPr>
            </w:pPr>
            <w:r>
              <w:rPr>
                <w:color w:val="auto"/>
                <w:sz w:val="21"/>
                <w:szCs w:val="21"/>
              </w:rPr>
              <w:t>《排污许可证申请与核发技术规范 》 （HJ1119-2020）及《污染源源强核算技术指南水泥工业》（HJ886-2018）中的可行性技术</w:t>
            </w:r>
          </w:p>
        </w:tc>
        <w:tc>
          <w:tcPr>
            <w:tcW w:w="865" w:type="dxa"/>
            <w:tcBorders>
              <w:bottom w:val="single" w:color="000000" w:sz="2" w:space="0"/>
            </w:tcBorders>
            <w:vAlign w:val="center"/>
          </w:tcPr>
          <w:p>
            <w:pPr>
              <w:ind w:firstLine="0" w:firstLineChars="0"/>
              <w:jc w:val="center"/>
              <w:rPr>
                <w:color w:val="auto"/>
                <w:sz w:val="21"/>
                <w:szCs w:val="21"/>
              </w:rPr>
            </w:pPr>
            <w:r>
              <w:rPr>
                <w:color w:val="auto"/>
                <w:sz w:val="21"/>
                <w:szCs w:val="21"/>
              </w:rPr>
              <w:t>是否为可行技术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jc w:val="center"/>
        </w:trPr>
        <w:tc>
          <w:tcPr>
            <w:tcW w:w="1983" w:type="dxa"/>
            <w:tcBorders>
              <w:top w:val="single" w:color="000000" w:sz="2" w:space="0"/>
              <w:bottom w:val="single" w:color="000000" w:sz="2" w:space="0"/>
            </w:tcBorders>
            <w:vAlign w:val="center"/>
          </w:tcPr>
          <w:p>
            <w:pPr>
              <w:ind w:firstLine="0" w:firstLineChars="0"/>
              <w:jc w:val="center"/>
              <w:rPr>
                <w:color w:val="auto"/>
                <w:sz w:val="21"/>
                <w:szCs w:val="21"/>
              </w:rPr>
            </w:pPr>
            <w:r>
              <w:rPr>
                <w:color w:val="auto"/>
                <w:sz w:val="21"/>
                <w:szCs w:val="21"/>
              </w:rPr>
              <w:t>骨料输送、加热、 提升、筛分粉尘</w:t>
            </w:r>
          </w:p>
        </w:tc>
        <w:tc>
          <w:tcPr>
            <w:tcW w:w="2330" w:type="dxa"/>
            <w:vMerge w:val="restart"/>
            <w:tcBorders>
              <w:top w:val="single" w:color="000000" w:sz="2" w:space="0"/>
              <w:bottom w:val="single" w:color="000000" w:sz="2" w:space="0"/>
            </w:tcBorders>
            <w:vAlign w:val="center"/>
          </w:tcPr>
          <w:p>
            <w:pPr>
              <w:ind w:firstLine="0" w:firstLineChars="0"/>
              <w:jc w:val="center"/>
              <w:rPr>
                <w:color w:val="auto"/>
                <w:sz w:val="21"/>
                <w:szCs w:val="21"/>
              </w:rPr>
            </w:pPr>
            <w:r>
              <w:rPr>
                <w:color w:val="auto"/>
                <w:sz w:val="21"/>
                <w:szCs w:val="21"/>
              </w:rPr>
              <w:t>布袋除尘器</w:t>
            </w:r>
            <w:r>
              <w:rPr>
                <w:rFonts w:hint="eastAsia"/>
                <w:color w:val="auto"/>
                <w:sz w:val="21"/>
                <w:szCs w:val="21"/>
              </w:rPr>
              <w:t>+15</w:t>
            </w:r>
            <w:r>
              <w:rPr>
                <w:color w:val="auto"/>
                <w:sz w:val="21"/>
                <w:szCs w:val="21"/>
              </w:rPr>
              <w:t>m 排气筒</w:t>
            </w:r>
          </w:p>
        </w:tc>
        <w:tc>
          <w:tcPr>
            <w:tcW w:w="3660" w:type="dxa"/>
            <w:tcBorders>
              <w:top w:val="single" w:color="000000" w:sz="2" w:space="0"/>
              <w:bottom w:val="single" w:color="000000" w:sz="2" w:space="0"/>
            </w:tcBorders>
            <w:vAlign w:val="center"/>
          </w:tcPr>
          <w:p>
            <w:pPr>
              <w:ind w:firstLine="0" w:firstLineChars="0"/>
              <w:jc w:val="center"/>
              <w:rPr>
                <w:color w:val="auto"/>
                <w:sz w:val="21"/>
                <w:szCs w:val="21"/>
              </w:rPr>
            </w:pPr>
            <w:r>
              <w:rPr>
                <w:color w:val="auto"/>
                <w:sz w:val="21"/>
                <w:szCs w:val="21"/>
              </w:rPr>
              <w:t>袋式除尘法、其他</w:t>
            </w:r>
          </w:p>
        </w:tc>
        <w:tc>
          <w:tcPr>
            <w:tcW w:w="865" w:type="dxa"/>
            <w:tcBorders>
              <w:top w:val="single" w:color="000000" w:sz="2" w:space="0"/>
              <w:bottom w:val="single" w:color="000000" w:sz="2" w:space="0"/>
            </w:tcBorders>
            <w:vAlign w:val="center"/>
          </w:tcPr>
          <w:p>
            <w:pPr>
              <w:ind w:firstLine="0" w:firstLineChars="0"/>
              <w:jc w:val="center"/>
              <w:rPr>
                <w:color w:val="auto"/>
                <w:sz w:val="21"/>
                <w:szCs w:val="21"/>
              </w:rPr>
            </w:pPr>
            <w:r>
              <w:rPr>
                <w:color w:val="auto"/>
                <w:sz w:val="21"/>
                <w:szCs w:val="21"/>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1983" w:type="dxa"/>
            <w:tcBorders>
              <w:top w:val="single" w:color="000000" w:sz="2" w:space="0"/>
            </w:tcBorders>
            <w:vAlign w:val="center"/>
          </w:tcPr>
          <w:p>
            <w:pPr>
              <w:ind w:firstLine="0" w:firstLineChars="0"/>
              <w:jc w:val="center"/>
              <w:rPr>
                <w:color w:val="auto"/>
                <w:sz w:val="21"/>
                <w:szCs w:val="21"/>
              </w:rPr>
            </w:pPr>
            <w:r>
              <w:rPr>
                <w:color w:val="auto"/>
                <w:sz w:val="21"/>
                <w:szCs w:val="21"/>
              </w:rPr>
              <w:t>干燥滚筒燃烧废气</w:t>
            </w:r>
          </w:p>
        </w:tc>
        <w:tc>
          <w:tcPr>
            <w:tcW w:w="2330" w:type="dxa"/>
            <w:vMerge w:val="continue"/>
            <w:tcBorders>
              <w:top w:val="single" w:color="000000" w:sz="2" w:space="0"/>
            </w:tcBorders>
            <w:vAlign w:val="center"/>
          </w:tcPr>
          <w:p>
            <w:pPr>
              <w:ind w:firstLine="0" w:firstLineChars="0"/>
              <w:jc w:val="center"/>
              <w:rPr>
                <w:color w:val="auto"/>
                <w:sz w:val="21"/>
                <w:szCs w:val="21"/>
              </w:rPr>
            </w:pPr>
          </w:p>
        </w:tc>
        <w:tc>
          <w:tcPr>
            <w:tcW w:w="3660" w:type="dxa"/>
            <w:tcBorders>
              <w:top w:val="single" w:color="000000" w:sz="2" w:space="0"/>
            </w:tcBorders>
            <w:vAlign w:val="center"/>
          </w:tcPr>
          <w:p>
            <w:pPr>
              <w:ind w:firstLine="0" w:firstLineChars="0"/>
              <w:jc w:val="center"/>
              <w:rPr>
                <w:color w:val="auto"/>
                <w:sz w:val="21"/>
                <w:szCs w:val="21"/>
              </w:rPr>
            </w:pPr>
            <w:r>
              <w:rPr>
                <w:color w:val="auto"/>
                <w:sz w:val="21"/>
                <w:szCs w:val="21"/>
              </w:rPr>
              <w:t>/</w:t>
            </w:r>
          </w:p>
        </w:tc>
        <w:tc>
          <w:tcPr>
            <w:tcW w:w="865" w:type="dxa"/>
            <w:tcBorders>
              <w:top w:val="single" w:color="000000" w:sz="2" w:space="0"/>
            </w:tcBorders>
            <w:vAlign w:val="center"/>
          </w:tcPr>
          <w:p>
            <w:pPr>
              <w:ind w:firstLine="0" w:firstLineChars="0"/>
              <w:jc w:val="center"/>
              <w:rPr>
                <w:color w:val="auto"/>
                <w:sz w:val="21"/>
                <w:szCs w:val="21"/>
              </w:rPr>
            </w:pPr>
            <w:r>
              <w:rPr>
                <w:color w:val="auto"/>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1983" w:type="dxa"/>
            <w:vAlign w:val="center"/>
          </w:tcPr>
          <w:p>
            <w:pPr>
              <w:ind w:firstLine="0" w:firstLineChars="0"/>
              <w:jc w:val="center"/>
              <w:rPr>
                <w:color w:val="auto"/>
                <w:sz w:val="21"/>
                <w:szCs w:val="21"/>
              </w:rPr>
            </w:pPr>
            <w:r>
              <w:rPr>
                <w:color w:val="auto"/>
                <w:sz w:val="21"/>
                <w:szCs w:val="21"/>
              </w:rPr>
              <w:t>导热油炉燃烧废气</w:t>
            </w:r>
          </w:p>
        </w:tc>
        <w:tc>
          <w:tcPr>
            <w:tcW w:w="2330" w:type="dxa"/>
            <w:vAlign w:val="center"/>
          </w:tcPr>
          <w:p>
            <w:pPr>
              <w:ind w:firstLine="0" w:firstLineChars="0"/>
              <w:jc w:val="center"/>
              <w:rPr>
                <w:color w:val="auto"/>
                <w:sz w:val="21"/>
                <w:szCs w:val="21"/>
              </w:rPr>
            </w:pPr>
            <w:r>
              <w:rPr>
                <w:rFonts w:hint="eastAsia"/>
                <w:color w:val="auto"/>
                <w:sz w:val="21"/>
                <w:szCs w:val="21"/>
              </w:rPr>
              <w:t>15</w:t>
            </w:r>
            <w:r>
              <w:rPr>
                <w:color w:val="auto"/>
                <w:sz w:val="21"/>
                <w:szCs w:val="21"/>
              </w:rPr>
              <w:t>m 排气筒</w:t>
            </w:r>
          </w:p>
        </w:tc>
        <w:tc>
          <w:tcPr>
            <w:tcW w:w="3660" w:type="dxa"/>
            <w:vAlign w:val="center"/>
          </w:tcPr>
          <w:p>
            <w:pPr>
              <w:ind w:firstLine="0" w:firstLineChars="0"/>
              <w:jc w:val="center"/>
              <w:rPr>
                <w:color w:val="auto"/>
                <w:sz w:val="21"/>
                <w:szCs w:val="21"/>
              </w:rPr>
            </w:pPr>
            <w:r>
              <w:rPr>
                <w:color w:val="auto"/>
                <w:sz w:val="21"/>
                <w:szCs w:val="21"/>
              </w:rPr>
              <w:t>/</w:t>
            </w:r>
          </w:p>
        </w:tc>
        <w:tc>
          <w:tcPr>
            <w:tcW w:w="865" w:type="dxa"/>
            <w:vAlign w:val="center"/>
          </w:tcPr>
          <w:p>
            <w:pPr>
              <w:ind w:firstLine="0" w:firstLineChars="0"/>
              <w:jc w:val="center"/>
              <w:rPr>
                <w:color w:val="auto"/>
                <w:sz w:val="21"/>
                <w:szCs w:val="21"/>
              </w:rPr>
            </w:pPr>
            <w:r>
              <w:rPr>
                <w:color w:val="auto"/>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jc w:val="center"/>
        </w:trPr>
        <w:tc>
          <w:tcPr>
            <w:tcW w:w="1983" w:type="dxa"/>
            <w:vAlign w:val="center"/>
          </w:tcPr>
          <w:p>
            <w:pPr>
              <w:ind w:firstLine="0" w:firstLineChars="0"/>
              <w:jc w:val="center"/>
              <w:rPr>
                <w:color w:val="auto"/>
                <w:sz w:val="21"/>
                <w:szCs w:val="21"/>
              </w:rPr>
            </w:pPr>
            <w:r>
              <w:rPr>
                <w:color w:val="auto"/>
                <w:sz w:val="21"/>
                <w:szCs w:val="21"/>
              </w:rPr>
              <w:t>沥青烟气</w:t>
            </w:r>
          </w:p>
        </w:tc>
        <w:tc>
          <w:tcPr>
            <w:tcW w:w="2330" w:type="dxa"/>
            <w:vAlign w:val="center"/>
          </w:tcPr>
          <w:p>
            <w:pPr>
              <w:ind w:firstLine="0" w:firstLineChars="0"/>
              <w:jc w:val="center"/>
              <w:rPr>
                <w:color w:val="auto"/>
                <w:sz w:val="21"/>
                <w:szCs w:val="21"/>
              </w:rPr>
            </w:pPr>
            <w:r>
              <w:rPr>
                <w:color w:val="auto"/>
                <w:sz w:val="21"/>
                <w:szCs w:val="21"/>
              </w:rPr>
              <w:t>通过</w:t>
            </w:r>
            <w:r>
              <w:rPr>
                <w:rFonts w:hint="eastAsia"/>
                <w:color w:val="auto"/>
                <w:sz w:val="21"/>
                <w:szCs w:val="21"/>
              </w:rPr>
              <w:t>电捕焦油器+</w:t>
            </w:r>
            <w:r>
              <w:rPr>
                <w:color w:val="auto"/>
                <w:sz w:val="21"/>
                <w:szCs w:val="21"/>
              </w:rPr>
              <w:t>活性炭</w:t>
            </w:r>
            <w:r>
              <w:rPr>
                <w:rFonts w:hint="eastAsia"/>
                <w:color w:val="auto"/>
                <w:sz w:val="21"/>
                <w:szCs w:val="21"/>
              </w:rPr>
              <w:t>吸附</w:t>
            </w:r>
            <w:r>
              <w:rPr>
                <w:color w:val="auto"/>
                <w:sz w:val="21"/>
                <w:szCs w:val="21"/>
              </w:rPr>
              <w:t xml:space="preserve"> 15m排气筒排放</w:t>
            </w:r>
          </w:p>
        </w:tc>
        <w:tc>
          <w:tcPr>
            <w:tcW w:w="3660" w:type="dxa"/>
            <w:vAlign w:val="center"/>
          </w:tcPr>
          <w:p>
            <w:pPr>
              <w:ind w:firstLine="0" w:firstLineChars="0"/>
              <w:jc w:val="center"/>
              <w:rPr>
                <w:color w:val="auto"/>
                <w:sz w:val="21"/>
                <w:szCs w:val="21"/>
              </w:rPr>
            </w:pPr>
            <w:r>
              <w:rPr>
                <w:color w:val="auto"/>
                <w:sz w:val="21"/>
                <w:szCs w:val="21"/>
              </w:rPr>
              <w:t>电捕焦油器、焚烧法、电捕焦油器+ 活性炭吸附、炭粉吸附法、其他</w:t>
            </w:r>
          </w:p>
        </w:tc>
        <w:tc>
          <w:tcPr>
            <w:tcW w:w="865" w:type="dxa"/>
            <w:vAlign w:val="center"/>
          </w:tcPr>
          <w:p>
            <w:pPr>
              <w:ind w:firstLine="0" w:firstLineChars="0"/>
              <w:jc w:val="center"/>
              <w:rPr>
                <w:color w:val="auto"/>
                <w:sz w:val="21"/>
                <w:szCs w:val="21"/>
              </w:rPr>
            </w:pPr>
          </w:p>
          <w:p>
            <w:pPr>
              <w:ind w:firstLine="0" w:firstLineChars="0"/>
              <w:jc w:val="center"/>
              <w:rPr>
                <w:color w:val="auto"/>
                <w:sz w:val="21"/>
                <w:szCs w:val="21"/>
              </w:rPr>
            </w:pPr>
            <w:r>
              <w:rPr>
                <w:color w:val="auto"/>
                <w:sz w:val="21"/>
                <w:szCs w:val="21"/>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1983" w:type="dxa"/>
            <w:vAlign w:val="center"/>
          </w:tcPr>
          <w:p>
            <w:pPr>
              <w:ind w:firstLine="0" w:firstLineChars="0"/>
              <w:jc w:val="center"/>
              <w:rPr>
                <w:color w:val="auto"/>
                <w:sz w:val="21"/>
                <w:szCs w:val="21"/>
              </w:rPr>
            </w:pPr>
            <w:r>
              <w:rPr>
                <w:color w:val="auto"/>
                <w:sz w:val="21"/>
                <w:szCs w:val="21"/>
              </w:rPr>
              <w:t>原料装卸扬尘</w:t>
            </w:r>
          </w:p>
        </w:tc>
        <w:tc>
          <w:tcPr>
            <w:tcW w:w="2330" w:type="dxa"/>
            <w:vAlign w:val="center"/>
          </w:tcPr>
          <w:p>
            <w:pPr>
              <w:ind w:firstLine="0" w:firstLineChars="0"/>
              <w:jc w:val="center"/>
              <w:rPr>
                <w:color w:val="auto"/>
                <w:sz w:val="21"/>
                <w:szCs w:val="21"/>
              </w:rPr>
            </w:pPr>
            <w:r>
              <w:rPr>
                <w:color w:val="auto"/>
                <w:sz w:val="21"/>
                <w:szCs w:val="21"/>
              </w:rPr>
              <w:t>厂房密闭，高压喷水雾</w:t>
            </w:r>
          </w:p>
        </w:tc>
        <w:tc>
          <w:tcPr>
            <w:tcW w:w="3660" w:type="dxa"/>
            <w:vMerge w:val="restart"/>
            <w:vAlign w:val="center"/>
          </w:tcPr>
          <w:p>
            <w:pPr>
              <w:adjustRightInd w:val="0"/>
              <w:snapToGrid w:val="0"/>
              <w:ind w:firstLine="0" w:firstLineChars="0"/>
              <w:jc w:val="center"/>
              <w:rPr>
                <w:bCs/>
                <w:color w:val="auto"/>
                <w:kern w:val="24"/>
                <w:sz w:val="21"/>
                <w:szCs w:val="21"/>
              </w:rPr>
            </w:pPr>
            <w:r>
              <w:rPr>
                <w:rFonts w:hint="eastAsia"/>
                <w:bCs/>
                <w:color w:val="auto"/>
                <w:kern w:val="24"/>
                <w:sz w:val="21"/>
                <w:szCs w:val="21"/>
              </w:rPr>
              <w:t>袋式除尘器，物料处理、输送、装卸、储存过程应当封闭，对块石、粘湿物</w:t>
            </w:r>
          </w:p>
          <w:p>
            <w:pPr>
              <w:ind w:firstLine="0" w:firstLineChars="0"/>
              <w:jc w:val="center"/>
              <w:rPr>
                <w:color w:val="auto"/>
                <w:sz w:val="21"/>
                <w:szCs w:val="21"/>
              </w:rPr>
            </w:pPr>
            <w:r>
              <w:rPr>
                <w:rFonts w:hint="eastAsia"/>
                <w:bCs/>
                <w:color w:val="auto"/>
                <w:kern w:val="24"/>
                <w:sz w:val="21"/>
                <w:szCs w:val="21"/>
              </w:rPr>
              <w:t>料、浆料以及车装卸料过程也可采取其他有效抑尘措施，控制颗粒物无组织排放</w:t>
            </w:r>
          </w:p>
        </w:tc>
        <w:tc>
          <w:tcPr>
            <w:tcW w:w="865" w:type="dxa"/>
            <w:vAlign w:val="center"/>
          </w:tcPr>
          <w:p>
            <w:pPr>
              <w:ind w:firstLine="0" w:firstLineChars="0"/>
              <w:jc w:val="center"/>
              <w:rPr>
                <w:color w:val="auto"/>
                <w:sz w:val="21"/>
                <w:szCs w:val="21"/>
              </w:rPr>
            </w:pPr>
            <w:r>
              <w:rPr>
                <w:color w:val="auto"/>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jc w:val="center"/>
        </w:trPr>
        <w:tc>
          <w:tcPr>
            <w:tcW w:w="1983" w:type="dxa"/>
            <w:vAlign w:val="center"/>
          </w:tcPr>
          <w:p>
            <w:pPr>
              <w:ind w:firstLine="0" w:firstLineChars="0"/>
              <w:jc w:val="center"/>
              <w:rPr>
                <w:color w:val="auto"/>
                <w:sz w:val="21"/>
                <w:szCs w:val="21"/>
              </w:rPr>
            </w:pPr>
            <w:r>
              <w:rPr>
                <w:color w:val="auto"/>
                <w:sz w:val="21"/>
                <w:szCs w:val="21"/>
              </w:rPr>
              <w:t>堆场粉尘</w:t>
            </w:r>
          </w:p>
        </w:tc>
        <w:tc>
          <w:tcPr>
            <w:tcW w:w="2330" w:type="dxa"/>
            <w:vAlign w:val="center"/>
          </w:tcPr>
          <w:p>
            <w:pPr>
              <w:ind w:firstLine="0" w:firstLineChars="0"/>
              <w:jc w:val="center"/>
              <w:rPr>
                <w:color w:val="auto"/>
                <w:sz w:val="21"/>
                <w:szCs w:val="21"/>
              </w:rPr>
            </w:pPr>
            <w:r>
              <w:rPr>
                <w:color w:val="auto"/>
                <w:sz w:val="21"/>
                <w:szCs w:val="21"/>
              </w:rPr>
              <w:t>厂房密闭，高压喷雾装置</w:t>
            </w:r>
          </w:p>
        </w:tc>
        <w:tc>
          <w:tcPr>
            <w:tcW w:w="3660" w:type="dxa"/>
            <w:vMerge w:val="continue"/>
            <w:vAlign w:val="center"/>
          </w:tcPr>
          <w:p>
            <w:pPr>
              <w:ind w:firstLine="0" w:firstLineChars="0"/>
              <w:jc w:val="center"/>
              <w:rPr>
                <w:color w:val="auto"/>
                <w:sz w:val="21"/>
                <w:szCs w:val="21"/>
              </w:rPr>
            </w:pPr>
          </w:p>
        </w:tc>
        <w:tc>
          <w:tcPr>
            <w:tcW w:w="865" w:type="dxa"/>
            <w:vAlign w:val="center"/>
          </w:tcPr>
          <w:p>
            <w:pPr>
              <w:ind w:firstLine="0" w:firstLineChars="0"/>
              <w:jc w:val="center"/>
              <w:rPr>
                <w:color w:val="auto"/>
                <w:sz w:val="21"/>
                <w:szCs w:val="21"/>
              </w:rPr>
            </w:pPr>
            <w:r>
              <w:rPr>
                <w:color w:val="auto"/>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1983" w:type="dxa"/>
            <w:vAlign w:val="center"/>
          </w:tcPr>
          <w:p>
            <w:pPr>
              <w:ind w:firstLine="0" w:firstLineChars="0"/>
              <w:jc w:val="center"/>
              <w:rPr>
                <w:color w:val="auto"/>
                <w:sz w:val="21"/>
                <w:szCs w:val="21"/>
              </w:rPr>
            </w:pPr>
            <w:r>
              <w:rPr>
                <w:color w:val="auto"/>
                <w:sz w:val="21"/>
                <w:szCs w:val="21"/>
              </w:rPr>
              <w:t>汽车运输粉尘</w:t>
            </w:r>
          </w:p>
        </w:tc>
        <w:tc>
          <w:tcPr>
            <w:tcW w:w="2330" w:type="dxa"/>
            <w:vAlign w:val="center"/>
          </w:tcPr>
          <w:p>
            <w:pPr>
              <w:ind w:firstLine="0" w:firstLineChars="0"/>
              <w:jc w:val="center"/>
              <w:rPr>
                <w:color w:val="auto"/>
                <w:sz w:val="21"/>
                <w:szCs w:val="21"/>
              </w:rPr>
            </w:pPr>
            <w:r>
              <w:rPr>
                <w:color w:val="auto"/>
                <w:sz w:val="21"/>
                <w:szCs w:val="21"/>
              </w:rPr>
              <w:t>定期清扫、洒水</w:t>
            </w:r>
          </w:p>
        </w:tc>
        <w:tc>
          <w:tcPr>
            <w:tcW w:w="3660" w:type="dxa"/>
            <w:vMerge w:val="continue"/>
            <w:vAlign w:val="center"/>
          </w:tcPr>
          <w:p>
            <w:pPr>
              <w:ind w:firstLine="0" w:firstLineChars="0"/>
              <w:jc w:val="center"/>
              <w:rPr>
                <w:color w:val="auto"/>
                <w:sz w:val="21"/>
                <w:szCs w:val="21"/>
              </w:rPr>
            </w:pPr>
          </w:p>
        </w:tc>
        <w:tc>
          <w:tcPr>
            <w:tcW w:w="865" w:type="dxa"/>
            <w:vAlign w:val="center"/>
          </w:tcPr>
          <w:p>
            <w:pPr>
              <w:ind w:firstLine="0" w:firstLineChars="0"/>
              <w:jc w:val="center"/>
              <w:rPr>
                <w:color w:val="auto"/>
                <w:sz w:val="21"/>
                <w:szCs w:val="21"/>
              </w:rPr>
            </w:pPr>
            <w:r>
              <w:rPr>
                <w:color w:val="auto"/>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1983" w:type="dxa"/>
            <w:vAlign w:val="center"/>
          </w:tcPr>
          <w:p>
            <w:pPr>
              <w:adjustRightInd w:val="0"/>
              <w:snapToGrid w:val="0"/>
              <w:ind w:firstLine="0" w:firstLineChars="0"/>
              <w:jc w:val="center"/>
              <w:rPr>
                <w:color w:val="auto"/>
                <w:sz w:val="21"/>
                <w:szCs w:val="21"/>
              </w:rPr>
            </w:pPr>
            <w:r>
              <w:rPr>
                <w:rFonts w:hint="eastAsia"/>
                <w:bCs/>
                <w:color w:val="auto"/>
                <w:kern w:val="24"/>
                <w:sz w:val="21"/>
                <w:szCs w:val="21"/>
              </w:rPr>
              <w:t>筒仓粉尘</w:t>
            </w:r>
          </w:p>
        </w:tc>
        <w:tc>
          <w:tcPr>
            <w:tcW w:w="2330" w:type="dxa"/>
            <w:vAlign w:val="center"/>
          </w:tcPr>
          <w:p>
            <w:pPr>
              <w:adjustRightInd w:val="0"/>
              <w:snapToGrid w:val="0"/>
              <w:ind w:firstLine="0" w:firstLineChars="0"/>
              <w:jc w:val="center"/>
              <w:rPr>
                <w:color w:val="auto"/>
                <w:sz w:val="21"/>
                <w:szCs w:val="21"/>
              </w:rPr>
            </w:pPr>
            <w:r>
              <w:rPr>
                <w:bCs/>
                <w:color w:val="auto"/>
                <w:kern w:val="24"/>
                <w:sz w:val="21"/>
                <w:szCs w:val="21"/>
              </w:rPr>
              <w:t>脉冲布袋除尘</w:t>
            </w:r>
          </w:p>
        </w:tc>
        <w:tc>
          <w:tcPr>
            <w:tcW w:w="3660" w:type="dxa"/>
            <w:vMerge w:val="continue"/>
            <w:vAlign w:val="center"/>
          </w:tcPr>
          <w:p>
            <w:pPr>
              <w:ind w:firstLine="0" w:firstLineChars="0"/>
              <w:jc w:val="center"/>
              <w:rPr>
                <w:color w:val="auto"/>
                <w:sz w:val="21"/>
                <w:szCs w:val="21"/>
              </w:rPr>
            </w:pPr>
          </w:p>
        </w:tc>
        <w:tc>
          <w:tcPr>
            <w:tcW w:w="865" w:type="dxa"/>
            <w:vAlign w:val="center"/>
          </w:tcPr>
          <w:p>
            <w:pPr>
              <w:ind w:firstLine="0" w:firstLineChars="0"/>
              <w:jc w:val="center"/>
              <w:rPr>
                <w:color w:val="auto"/>
                <w:sz w:val="21"/>
                <w:szCs w:val="21"/>
              </w:rPr>
            </w:pPr>
            <w:r>
              <w:rPr>
                <w:color w:val="auto"/>
                <w:sz w:val="21"/>
                <w:szCs w:val="21"/>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1983" w:type="dxa"/>
            <w:vAlign w:val="center"/>
          </w:tcPr>
          <w:p>
            <w:pPr>
              <w:adjustRightInd w:val="0"/>
              <w:snapToGrid w:val="0"/>
              <w:ind w:firstLine="0" w:firstLineChars="0"/>
              <w:jc w:val="center"/>
              <w:rPr>
                <w:bCs/>
                <w:color w:val="auto"/>
                <w:kern w:val="24"/>
                <w:sz w:val="21"/>
                <w:szCs w:val="21"/>
              </w:rPr>
            </w:pPr>
            <w:r>
              <w:rPr>
                <w:bCs/>
                <w:color w:val="auto"/>
                <w:kern w:val="24"/>
                <w:sz w:val="21"/>
                <w:szCs w:val="21"/>
              </w:rPr>
              <w:t>投料及搅拌粉尘</w:t>
            </w:r>
          </w:p>
        </w:tc>
        <w:tc>
          <w:tcPr>
            <w:tcW w:w="2330" w:type="dxa"/>
            <w:vAlign w:val="center"/>
          </w:tcPr>
          <w:p>
            <w:pPr>
              <w:adjustRightInd w:val="0"/>
              <w:snapToGrid w:val="0"/>
              <w:ind w:firstLine="0" w:firstLineChars="0"/>
              <w:jc w:val="center"/>
              <w:rPr>
                <w:color w:val="auto"/>
                <w:sz w:val="21"/>
                <w:szCs w:val="21"/>
              </w:rPr>
            </w:pPr>
            <w:r>
              <w:rPr>
                <w:rFonts w:hint="eastAsia"/>
                <w:bCs/>
                <w:color w:val="auto"/>
                <w:kern w:val="24"/>
                <w:sz w:val="21"/>
                <w:szCs w:val="21"/>
              </w:rPr>
              <w:t>全封闭的皮带运输机+</w:t>
            </w:r>
            <w:r>
              <w:rPr>
                <w:bCs/>
                <w:color w:val="auto"/>
                <w:kern w:val="24"/>
                <w:sz w:val="21"/>
                <w:szCs w:val="21"/>
              </w:rPr>
              <w:t>脉冲布袋除尘</w:t>
            </w:r>
          </w:p>
        </w:tc>
        <w:tc>
          <w:tcPr>
            <w:tcW w:w="3660" w:type="dxa"/>
            <w:vMerge w:val="continue"/>
            <w:vAlign w:val="center"/>
          </w:tcPr>
          <w:p>
            <w:pPr>
              <w:ind w:firstLine="0" w:firstLineChars="0"/>
              <w:jc w:val="center"/>
              <w:rPr>
                <w:color w:val="auto"/>
                <w:sz w:val="21"/>
                <w:szCs w:val="21"/>
              </w:rPr>
            </w:pPr>
          </w:p>
        </w:tc>
        <w:tc>
          <w:tcPr>
            <w:tcW w:w="865" w:type="dxa"/>
            <w:vAlign w:val="center"/>
          </w:tcPr>
          <w:p>
            <w:pPr>
              <w:ind w:firstLine="0" w:firstLineChars="0"/>
              <w:jc w:val="center"/>
              <w:rPr>
                <w:color w:val="auto"/>
                <w:sz w:val="21"/>
                <w:szCs w:val="21"/>
              </w:rPr>
            </w:pPr>
            <w:r>
              <w:rPr>
                <w:color w:val="auto"/>
                <w:sz w:val="21"/>
                <w:szCs w:val="21"/>
              </w:rPr>
              <w:t>是</w:t>
            </w:r>
          </w:p>
        </w:tc>
      </w:tr>
    </w:tbl>
    <w:p>
      <w:pPr>
        <w:spacing w:before="37" w:line="350" w:lineRule="auto"/>
        <w:ind w:left="122" w:firstLine="472"/>
        <w:rPr>
          <w:rFonts w:hint="eastAsia" w:ascii="宋体" w:hAnsi="宋体" w:cs="宋体"/>
          <w:color w:val="auto"/>
        </w:rPr>
      </w:pPr>
      <w:r>
        <w:rPr>
          <w:rFonts w:ascii="宋体" w:hAnsi="宋体" w:cs="宋体"/>
          <w:color w:val="auto"/>
          <w:spacing w:val="-2"/>
        </w:rPr>
        <w:t>结合本项目实际情况，废气采用技术成熟、处理效率高的可行性技术进行处理，</w:t>
      </w:r>
      <w:r>
        <w:rPr>
          <w:rFonts w:ascii="宋体" w:hAnsi="宋体" w:cs="宋体"/>
          <w:color w:val="auto"/>
          <w:spacing w:val="17"/>
        </w:rPr>
        <w:t xml:space="preserve"> </w:t>
      </w:r>
      <w:r>
        <w:rPr>
          <w:rFonts w:ascii="宋体" w:hAnsi="宋体" w:cs="宋体"/>
          <w:color w:val="auto"/>
          <w:spacing w:val="-1"/>
        </w:rPr>
        <w:t>通过计算，废气经处理后均能达标排放，满足执行标准的要求</w:t>
      </w:r>
      <w:r>
        <w:rPr>
          <w:rFonts w:ascii="宋体" w:hAnsi="宋体" w:cs="宋体"/>
          <w:color w:val="auto"/>
          <w:spacing w:val="-2"/>
        </w:rPr>
        <w:t>，从技术角度来说，本项目可行。</w:t>
      </w:r>
    </w:p>
    <w:p>
      <w:pPr>
        <w:pStyle w:val="4"/>
        <w:rPr>
          <w:color w:val="auto"/>
        </w:rPr>
      </w:pPr>
      <w:r>
        <w:rPr>
          <w:color w:val="auto"/>
        </w:rPr>
        <w:t>5 大气环境影响预测</w:t>
      </w:r>
    </w:p>
    <w:p>
      <w:pPr>
        <w:ind w:firstLine="480"/>
        <w:rPr>
          <w:color w:val="auto"/>
        </w:rPr>
      </w:pPr>
      <w:r>
        <w:rPr>
          <w:color w:val="auto"/>
        </w:rPr>
        <w:t>本项目采用《环境影响评价技术导则大气环境》（HJ2.2-2018）的估算模式AERSCREEN进行预测。</w:t>
      </w:r>
    </w:p>
    <w:p>
      <w:pPr>
        <w:pStyle w:val="5"/>
        <w:tabs>
          <w:tab w:val="left" w:pos="3949"/>
        </w:tabs>
        <w:ind w:firstLine="281"/>
        <w:rPr>
          <w:color w:val="auto"/>
        </w:rPr>
      </w:pPr>
      <w:r>
        <w:rPr>
          <w:rFonts w:hint="eastAsia"/>
          <w:color w:val="auto"/>
        </w:rPr>
        <w:t>5.1评价工作等级的划分</w:t>
      </w:r>
    </w:p>
    <w:p>
      <w:pPr>
        <w:ind w:firstLine="480"/>
        <w:rPr>
          <w:color w:val="auto"/>
        </w:rPr>
      </w:pPr>
      <w:r>
        <w:rPr>
          <w:color w:val="auto"/>
        </w:rPr>
        <w:t>根据《环境影响评价技术导则 大气环境》（HJ2.2-2018），采用推荐模式中的估算模型 AERSCREEN 对本项目有组织及无组织排放的污染物的最大地面占标率Pi（第i 个污染物） 及第i 个污染物的地面浓度达标准限值 10%时所对应的最远距离D10%进行计算。其中Pi 定义如下：</w:t>
      </w:r>
    </w:p>
    <w:p>
      <w:pPr>
        <w:ind w:firstLine="480"/>
        <w:jc w:val="center"/>
        <w:rPr>
          <w:color w:val="auto"/>
        </w:rPr>
      </w:pPr>
      <w:r>
        <w:rPr>
          <w:color w:val="auto"/>
        </w:rPr>
        <w:drawing>
          <wp:inline distT="0" distB="0" distL="114300" distR="114300">
            <wp:extent cx="1019175" cy="466090"/>
            <wp:effectExtent l="0" t="0" r="9525" b="10160"/>
            <wp:docPr id="49" name="图片 49"/>
            <wp:cNvGraphicFramePr/>
            <a:graphic xmlns:a="http://schemas.openxmlformats.org/drawingml/2006/main">
              <a:graphicData uri="http://schemas.openxmlformats.org/drawingml/2006/picture">
                <pic:pic xmlns:pic="http://schemas.openxmlformats.org/drawingml/2006/picture">
                  <pic:nvPicPr>
                    <pic:cNvPr id="49" name="图片 49"/>
                    <pic:cNvPicPr/>
                  </pic:nvPicPr>
                  <pic:blipFill>
                    <a:blip r:embed="rId24"/>
                    <a:stretch>
                      <a:fillRect/>
                    </a:stretch>
                  </pic:blipFill>
                  <pic:spPr>
                    <a:xfrm>
                      <a:off x="0" y="0"/>
                      <a:ext cx="1019175" cy="466090"/>
                    </a:xfrm>
                    <a:prstGeom prst="rect">
                      <a:avLst/>
                    </a:prstGeom>
                    <a:noFill/>
                    <a:ln>
                      <a:noFill/>
                    </a:ln>
                  </pic:spPr>
                </pic:pic>
              </a:graphicData>
            </a:graphic>
          </wp:inline>
        </w:drawing>
      </w:r>
    </w:p>
    <w:p>
      <w:pPr>
        <w:ind w:firstLine="480"/>
        <w:rPr>
          <w:color w:val="auto"/>
        </w:rPr>
      </w:pPr>
      <w:r>
        <w:rPr>
          <w:color w:val="auto"/>
        </w:rPr>
        <w:t>Pi—第i 个污染物的最大地面浓度占标率，%；</w:t>
      </w:r>
    </w:p>
    <w:p>
      <w:pPr>
        <w:ind w:firstLine="480"/>
        <w:rPr>
          <w:color w:val="auto"/>
        </w:rPr>
      </w:pPr>
      <w:r>
        <w:rPr>
          <w:color w:val="auto"/>
        </w:rPr>
        <w:t xml:space="preserve">Ci—采用估算模式计算出的第i 个污染物的最大地面浓度，mg/m³ ; </w:t>
      </w:r>
    </w:p>
    <w:p>
      <w:pPr>
        <w:ind w:firstLine="480"/>
        <w:rPr>
          <w:color w:val="auto"/>
        </w:rPr>
      </w:pPr>
      <w:r>
        <w:rPr>
          <w:color w:val="auto"/>
        </w:rPr>
        <w:t>C0i—第i 个污染物的环境空气质量标准，mg/m³。</w:t>
      </w:r>
    </w:p>
    <w:p>
      <w:pPr>
        <w:ind w:firstLine="0" w:firstLineChars="0"/>
        <w:jc w:val="center"/>
        <w:rPr>
          <w:b/>
          <w:bCs/>
          <w:color w:val="auto"/>
        </w:rPr>
      </w:pPr>
      <w:r>
        <w:rPr>
          <w:b/>
          <w:bCs/>
          <w:color w:val="auto"/>
        </w:rPr>
        <w:t>表 5-1    大气环境评价工作等级分级判据</w:t>
      </w:r>
    </w:p>
    <w:tbl>
      <w:tblPr>
        <w:tblStyle w:val="61"/>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104"/>
        <w:gridCol w:w="62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1266" w:type="pct"/>
          </w:tcPr>
          <w:p>
            <w:pPr>
              <w:ind w:firstLine="0" w:firstLineChars="0"/>
              <w:jc w:val="center"/>
              <w:rPr>
                <w:color w:val="auto"/>
                <w:sz w:val="21"/>
                <w:szCs w:val="21"/>
              </w:rPr>
            </w:pPr>
            <w:r>
              <w:rPr>
                <w:color w:val="auto"/>
                <w:sz w:val="21"/>
                <w:szCs w:val="21"/>
              </w:rPr>
              <w:t>评价工作等级</w:t>
            </w:r>
          </w:p>
        </w:tc>
        <w:tc>
          <w:tcPr>
            <w:tcW w:w="3733" w:type="pct"/>
          </w:tcPr>
          <w:p>
            <w:pPr>
              <w:ind w:firstLine="0" w:firstLineChars="0"/>
              <w:jc w:val="center"/>
              <w:rPr>
                <w:color w:val="auto"/>
                <w:sz w:val="21"/>
                <w:szCs w:val="21"/>
              </w:rPr>
            </w:pPr>
            <w:r>
              <w:rPr>
                <w:color w:val="auto"/>
                <w:sz w:val="21"/>
                <w:szCs w:val="21"/>
              </w:rPr>
              <w:t>评价工作分级判据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1266" w:type="pct"/>
          </w:tcPr>
          <w:p>
            <w:pPr>
              <w:ind w:firstLine="0" w:firstLineChars="0"/>
              <w:jc w:val="center"/>
              <w:rPr>
                <w:color w:val="auto"/>
                <w:sz w:val="21"/>
                <w:szCs w:val="21"/>
              </w:rPr>
            </w:pPr>
            <w:r>
              <w:rPr>
                <w:color w:val="auto"/>
                <w:sz w:val="21"/>
                <w:szCs w:val="21"/>
              </w:rPr>
              <w:t>一级</w:t>
            </w:r>
          </w:p>
        </w:tc>
        <w:tc>
          <w:tcPr>
            <w:tcW w:w="3733" w:type="pct"/>
          </w:tcPr>
          <w:p>
            <w:pPr>
              <w:ind w:firstLine="0" w:firstLineChars="0"/>
              <w:jc w:val="center"/>
              <w:rPr>
                <w:color w:val="auto"/>
                <w:sz w:val="21"/>
                <w:szCs w:val="21"/>
              </w:rPr>
            </w:pPr>
            <w:r>
              <w:rPr>
                <w:color w:val="auto"/>
                <w:sz w:val="21"/>
                <w:szCs w:val="21"/>
              </w:rPr>
              <w:t>P</w:t>
            </w:r>
            <w:r>
              <w:rPr>
                <w:color w:val="auto"/>
                <w:sz w:val="21"/>
                <w:szCs w:val="21"/>
                <w:vertAlign w:val="subscript"/>
              </w:rPr>
              <w:t>max</w:t>
            </w:r>
            <w:r>
              <w:rPr>
                <w:color w:val="auto"/>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1266" w:type="pct"/>
          </w:tcPr>
          <w:p>
            <w:pPr>
              <w:ind w:firstLine="0" w:firstLineChars="0"/>
              <w:jc w:val="center"/>
              <w:rPr>
                <w:color w:val="auto"/>
                <w:sz w:val="21"/>
                <w:szCs w:val="21"/>
              </w:rPr>
            </w:pPr>
            <w:r>
              <w:rPr>
                <w:color w:val="auto"/>
                <w:sz w:val="21"/>
                <w:szCs w:val="21"/>
              </w:rPr>
              <w:t>二级</w:t>
            </w:r>
          </w:p>
        </w:tc>
        <w:tc>
          <w:tcPr>
            <w:tcW w:w="3733" w:type="pct"/>
          </w:tcPr>
          <w:p>
            <w:pPr>
              <w:ind w:firstLine="0" w:firstLineChars="0"/>
              <w:jc w:val="center"/>
              <w:rPr>
                <w:color w:val="auto"/>
                <w:sz w:val="21"/>
                <w:szCs w:val="21"/>
              </w:rPr>
            </w:pPr>
            <w:r>
              <w:rPr>
                <w:color w:val="auto"/>
                <w:sz w:val="21"/>
                <w:szCs w:val="21"/>
              </w:rPr>
              <w:t>1%≤P</w:t>
            </w:r>
            <w:r>
              <w:rPr>
                <w:color w:val="auto"/>
                <w:sz w:val="21"/>
                <w:szCs w:val="21"/>
                <w:vertAlign w:val="subscript"/>
              </w:rPr>
              <w:t>max</w:t>
            </w:r>
            <w:r>
              <w:rPr>
                <w:color w:val="auto"/>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1266" w:type="pct"/>
          </w:tcPr>
          <w:p>
            <w:pPr>
              <w:ind w:firstLine="0" w:firstLineChars="0"/>
              <w:jc w:val="center"/>
              <w:rPr>
                <w:color w:val="auto"/>
                <w:sz w:val="21"/>
                <w:szCs w:val="21"/>
              </w:rPr>
            </w:pPr>
            <w:r>
              <w:rPr>
                <w:color w:val="auto"/>
                <w:sz w:val="21"/>
                <w:szCs w:val="21"/>
              </w:rPr>
              <w:t>三级</w:t>
            </w:r>
          </w:p>
        </w:tc>
        <w:tc>
          <w:tcPr>
            <w:tcW w:w="3733" w:type="pct"/>
          </w:tcPr>
          <w:p>
            <w:pPr>
              <w:ind w:firstLine="0" w:firstLineChars="0"/>
              <w:jc w:val="center"/>
              <w:rPr>
                <w:color w:val="auto"/>
                <w:sz w:val="21"/>
                <w:szCs w:val="21"/>
              </w:rPr>
            </w:pPr>
            <w:r>
              <w:rPr>
                <w:color w:val="auto"/>
                <w:sz w:val="21"/>
                <w:szCs w:val="21"/>
              </w:rPr>
              <w:t>P</w:t>
            </w:r>
            <w:r>
              <w:rPr>
                <w:color w:val="auto"/>
                <w:sz w:val="21"/>
                <w:szCs w:val="21"/>
                <w:vertAlign w:val="subscript"/>
              </w:rPr>
              <w:t>max</w:t>
            </w:r>
            <w:r>
              <w:rPr>
                <w:color w:val="auto"/>
                <w:sz w:val="21"/>
                <w:szCs w:val="21"/>
              </w:rPr>
              <w:t>＜1%</w:t>
            </w:r>
          </w:p>
        </w:tc>
      </w:tr>
    </w:tbl>
    <w:p>
      <w:pPr>
        <w:spacing w:before="36" w:line="219" w:lineRule="auto"/>
        <w:ind w:left="613" w:firstLine="472"/>
        <w:rPr>
          <w:rFonts w:hint="eastAsia" w:ascii="宋体" w:hAnsi="宋体" w:cs="宋体"/>
          <w:color w:val="auto"/>
          <w:spacing w:val="-2"/>
        </w:rPr>
      </w:pPr>
    </w:p>
    <w:p>
      <w:pPr>
        <w:pStyle w:val="5"/>
        <w:tabs>
          <w:tab w:val="left" w:pos="3949"/>
        </w:tabs>
        <w:ind w:firstLine="281"/>
        <w:rPr>
          <w:color w:val="auto"/>
        </w:rPr>
      </w:pPr>
      <w:r>
        <w:rPr>
          <w:rFonts w:hint="eastAsia"/>
          <w:color w:val="auto"/>
        </w:rPr>
        <w:t>5.2评价因子及评价标准</w:t>
      </w:r>
    </w:p>
    <w:p>
      <w:pPr>
        <w:ind w:firstLine="480"/>
        <w:rPr>
          <w:color w:val="auto"/>
        </w:rPr>
      </w:pPr>
      <w:r>
        <w:rPr>
          <w:rFonts w:ascii="宋体" w:hAnsi="宋体" w:cs="宋体"/>
          <w:color w:val="auto"/>
        </w:rPr>
        <w:t>根据《环境影响评价技术导则大气环境》（</w:t>
      </w:r>
      <w:r>
        <w:rPr>
          <w:rFonts w:eastAsia="Times New Roman"/>
          <w:color w:val="auto"/>
        </w:rPr>
        <w:t>HJ2.2-2018</w:t>
      </w:r>
      <w:r>
        <w:rPr>
          <w:rFonts w:ascii="宋体" w:hAnsi="宋体" w:cs="宋体"/>
          <w:color w:val="auto"/>
          <w:spacing w:val="12"/>
        </w:rPr>
        <w:t>），</w:t>
      </w:r>
      <w:r>
        <w:rPr>
          <w:rFonts w:ascii="宋体" w:hAnsi="宋体" w:cs="宋体"/>
          <w:color w:val="auto"/>
        </w:rPr>
        <w:t xml:space="preserve">评价标准值采用《环 </w:t>
      </w:r>
      <w:r>
        <w:rPr>
          <w:rFonts w:ascii="宋体" w:hAnsi="宋体" w:cs="宋体"/>
          <w:color w:val="auto"/>
          <w:spacing w:val="-1"/>
        </w:rPr>
        <w:t>境空气质量标准》（</w:t>
      </w:r>
      <w:r>
        <w:rPr>
          <w:rFonts w:eastAsia="Times New Roman"/>
          <w:color w:val="auto"/>
          <w:spacing w:val="-1"/>
        </w:rPr>
        <w:t>GB3095-2012</w:t>
      </w:r>
      <w:r>
        <w:rPr>
          <w:rFonts w:ascii="宋体" w:hAnsi="宋体" w:cs="宋体"/>
          <w:color w:val="auto"/>
          <w:spacing w:val="-1"/>
        </w:rPr>
        <w:t>）中</w:t>
      </w:r>
      <w:r>
        <w:rPr>
          <w:rFonts w:ascii="宋体" w:hAnsi="宋体" w:cs="宋体"/>
          <w:color w:val="auto"/>
          <w:spacing w:val="-17"/>
        </w:rPr>
        <w:t xml:space="preserve"> </w:t>
      </w:r>
      <w:r>
        <w:rPr>
          <w:rFonts w:eastAsia="Times New Roman"/>
          <w:color w:val="auto"/>
          <w:spacing w:val="-1"/>
        </w:rPr>
        <w:t>1</w:t>
      </w:r>
      <w:r>
        <w:rPr>
          <w:rFonts w:eastAsia="Times New Roman"/>
          <w:color w:val="auto"/>
          <w:spacing w:val="15"/>
          <w:w w:val="101"/>
        </w:rPr>
        <w:t xml:space="preserve"> </w:t>
      </w:r>
      <w:r>
        <w:rPr>
          <w:rFonts w:ascii="宋体" w:hAnsi="宋体" w:cs="宋体"/>
          <w:color w:val="auto"/>
          <w:spacing w:val="-1"/>
        </w:rPr>
        <w:t>小时平均取样时间的二级标准浓度限值，对</w:t>
      </w:r>
      <w:r>
        <w:rPr>
          <w:rFonts w:ascii="宋体" w:hAnsi="宋体" w:cs="宋体"/>
          <w:color w:val="auto"/>
        </w:rPr>
        <w:t>于仅有</w:t>
      </w:r>
      <w:r>
        <w:rPr>
          <w:rFonts w:ascii="宋体" w:hAnsi="宋体" w:cs="宋体"/>
          <w:color w:val="auto"/>
          <w:spacing w:val="-41"/>
        </w:rPr>
        <w:t xml:space="preserve"> </w:t>
      </w:r>
      <w:r>
        <w:rPr>
          <w:rFonts w:eastAsia="Times New Roman"/>
          <w:color w:val="auto"/>
        </w:rPr>
        <w:t xml:space="preserve">8h </w:t>
      </w:r>
      <w:r>
        <w:rPr>
          <w:rFonts w:ascii="宋体" w:hAnsi="宋体" w:cs="宋体"/>
          <w:color w:val="auto"/>
        </w:rPr>
        <w:t>平均质量浓度限值、</w:t>
      </w:r>
      <w:r>
        <w:rPr>
          <w:rFonts w:ascii="宋体" w:hAnsi="宋体" w:cs="宋体"/>
          <w:color w:val="auto"/>
          <w:spacing w:val="-67"/>
        </w:rPr>
        <w:t xml:space="preserve"> </w:t>
      </w:r>
      <w:r>
        <w:rPr>
          <w:rFonts w:ascii="宋体" w:hAnsi="宋体" w:cs="宋体"/>
          <w:color w:val="auto"/>
        </w:rPr>
        <w:t xml:space="preserve">日平均质量浓度限值或年平均质量浓度限值的，可分 </w:t>
      </w:r>
      <w:r>
        <w:rPr>
          <w:rFonts w:ascii="宋体" w:hAnsi="宋体" w:cs="宋体"/>
          <w:color w:val="auto"/>
          <w:spacing w:val="-7"/>
        </w:rPr>
        <w:t>别按</w:t>
      </w:r>
      <w:r>
        <w:rPr>
          <w:rFonts w:ascii="宋体" w:hAnsi="宋体" w:cs="宋体"/>
          <w:color w:val="auto"/>
          <w:spacing w:val="-55"/>
        </w:rPr>
        <w:t xml:space="preserve"> </w:t>
      </w:r>
      <w:r>
        <w:rPr>
          <w:rFonts w:eastAsia="Times New Roman"/>
          <w:color w:val="auto"/>
          <w:spacing w:val="-7"/>
        </w:rPr>
        <w:t xml:space="preserve">2 </w:t>
      </w:r>
      <w:r>
        <w:rPr>
          <w:rFonts w:ascii="宋体" w:hAnsi="宋体" w:cs="宋体"/>
          <w:color w:val="auto"/>
          <w:spacing w:val="-7"/>
        </w:rPr>
        <w:t>倍、</w:t>
      </w:r>
      <w:r>
        <w:rPr>
          <w:rFonts w:eastAsia="Times New Roman"/>
          <w:color w:val="auto"/>
          <w:spacing w:val="-7"/>
        </w:rPr>
        <w:t xml:space="preserve">3 </w:t>
      </w:r>
      <w:r>
        <w:rPr>
          <w:rFonts w:ascii="宋体" w:hAnsi="宋体" w:cs="宋体"/>
          <w:color w:val="auto"/>
          <w:spacing w:val="-7"/>
        </w:rPr>
        <w:t>倍、</w:t>
      </w:r>
      <w:r>
        <w:rPr>
          <w:rFonts w:eastAsia="Times New Roman"/>
          <w:color w:val="auto"/>
          <w:spacing w:val="-7"/>
        </w:rPr>
        <w:t xml:space="preserve">6 </w:t>
      </w:r>
      <w:r>
        <w:rPr>
          <w:rFonts w:ascii="宋体" w:hAnsi="宋体" w:cs="宋体"/>
          <w:color w:val="auto"/>
          <w:spacing w:val="-7"/>
        </w:rPr>
        <w:t>倍折算为</w:t>
      </w:r>
      <w:r>
        <w:rPr>
          <w:rFonts w:ascii="宋体" w:hAnsi="宋体" w:cs="宋体"/>
          <w:color w:val="auto"/>
          <w:spacing w:val="-32"/>
        </w:rPr>
        <w:t xml:space="preserve"> </w:t>
      </w:r>
      <w:r>
        <w:rPr>
          <w:rFonts w:eastAsia="Times New Roman"/>
          <w:color w:val="auto"/>
          <w:spacing w:val="-7"/>
        </w:rPr>
        <w:t xml:space="preserve">1h </w:t>
      </w:r>
      <w:r>
        <w:rPr>
          <w:rFonts w:ascii="宋体" w:hAnsi="宋体" w:cs="宋体"/>
          <w:color w:val="auto"/>
          <w:spacing w:val="-7"/>
        </w:rPr>
        <w:t>平均质量浓</w:t>
      </w:r>
      <w:r>
        <w:rPr>
          <w:rFonts w:ascii="宋体" w:hAnsi="宋体" w:cs="宋体"/>
          <w:color w:val="auto"/>
          <w:spacing w:val="-8"/>
        </w:rPr>
        <w:t>度限值。</w:t>
      </w:r>
      <w:r>
        <w:rPr>
          <w:rFonts w:eastAsia="Times New Roman"/>
          <w:color w:val="auto"/>
          <w:spacing w:val="-8"/>
        </w:rPr>
        <w:t xml:space="preserve">TSP  </w:t>
      </w:r>
      <w:r>
        <w:rPr>
          <w:rFonts w:ascii="宋体" w:hAnsi="宋体" w:cs="宋体"/>
          <w:color w:val="auto"/>
          <w:spacing w:val="-8"/>
        </w:rPr>
        <w:t>日平均浓度限值为</w:t>
      </w:r>
      <w:r>
        <w:rPr>
          <w:rFonts w:ascii="宋体" w:hAnsi="宋体" w:cs="宋体"/>
          <w:color w:val="auto"/>
          <w:spacing w:val="-50"/>
        </w:rPr>
        <w:t xml:space="preserve"> </w:t>
      </w:r>
      <w:r>
        <w:rPr>
          <w:rFonts w:eastAsia="Times New Roman"/>
          <w:color w:val="auto"/>
          <w:spacing w:val="-8"/>
        </w:rPr>
        <w:t>300μg/m³</w:t>
      </w:r>
      <w:r>
        <w:rPr>
          <w:rFonts w:eastAsia="Times New Roman"/>
          <w:color w:val="auto"/>
          <w:spacing w:val="-34"/>
        </w:rPr>
        <w:t xml:space="preserve"> </w:t>
      </w:r>
      <w:r>
        <w:rPr>
          <w:rFonts w:ascii="宋体" w:hAnsi="宋体" w:cs="宋体"/>
          <w:color w:val="auto"/>
          <w:spacing w:val="-8"/>
        </w:rPr>
        <w:t>,</w:t>
      </w:r>
      <w:r>
        <w:rPr>
          <w:rFonts w:ascii="宋体" w:hAnsi="宋体" w:cs="宋体"/>
          <w:color w:val="auto"/>
        </w:rPr>
        <w:t xml:space="preserve"> </w:t>
      </w:r>
      <w:r>
        <w:rPr>
          <w:rFonts w:ascii="宋体" w:hAnsi="宋体" w:cs="宋体"/>
          <w:color w:val="auto"/>
          <w:spacing w:val="-5"/>
        </w:rPr>
        <w:t>因此，</w:t>
      </w:r>
      <w:r>
        <w:rPr>
          <w:rFonts w:eastAsia="Times New Roman"/>
          <w:color w:val="auto"/>
          <w:spacing w:val="-5"/>
        </w:rPr>
        <w:t>TSP</w:t>
      </w:r>
      <w:r>
        <w:rPr>
          <w:rFonts w:eastAsia="Times New Roman"/>
          <w:color w:val="auto"/>
          <w:spacing w:val="34"/>
          <w:w w:val="101"/>
        </w:rPr>
        <w:t xml:space="preserve"> </w:t>
      </w:r>
      <w:r>
        <w:rPr>
          <w:rFonts w:ascii="宋体" w:hAnsi="宋体" w:cs="宋体"/>
          <w:color w:val="auto"/>
          <w:spacing w:val="-5"/>
        </w:rPr>
        <w:t>的评价标准值为</w:t>
      </w:r>
      <w:r>
        <w:rPr>
          <w:rFonts w:ascii="宋体" w:hAnsi="宋体" w:cs="宋体"/>
          <w:color w:val="auto"/>
          <w:spacing w:val="-51"/>
        </w:rPr>
        <w:t xml:space="preserve"> </w:t>
      </w:r>
      <w:r>
        <w:rPr>
          <w:rFonts w:eastAsia="Times New Roman"/>
          <w:color w:val="auto"/>
          <w:spacing w:val="-5"/>
        </w:rPr>
        <w:t>900μg/m³</w:t>
      </w:r>
      <w:r>
        <w:rPr>
          <w:rFonts w:eastAsia="Times New Roman"/>
          <w:color w:val="auto"/>
          <w:spacing w:val="-30"/>
        </w:rPr>
        <w:t xml:space="preserve"> </w:t>
      </w:r>
      <w:r>
        <w:rPr>
          <w:rFonts w:hint="eastAsia" w:ascii="宋体" w:hAnsi="宋体" w:cs="宋体"/>
          <w:color w:val="auto"/>
          <w:spacing w:val="-5"/>
        </w:rPr>
        <w:t>；</w:t>
      </w:r>
      <w:r>
        <w:rPr>
          <w:rFonts w:ascii="宋体" w:hAnsi="宋体" w:cs="宋体"/>
          <w:color w:val="auto"/>
          <w:spacing w:val="68"/>
        </w:rPr>
        <w:t xml:space="preserve"> </w:t>
      </w:r>
      <w:r>
        <w:rPr>
          <w:rFonts w:ascii="宋体" w:hAnsi="宋体" w:cs="宋体"/>
          <w:color w:val="auto"/>
          <w:spacing w:val="-5"/>
        </w:rPr>
        <w:t>苯并［</w:t>
      </w:r>
      <w:r>
        <w:rPr>
          <w:rFonts w:eastAsia="Times New Roman"/>
          <w:color w:val="auto"/>
          <w:spacing w:val="-5"/>
        </w:rPr>
        <w:t>a</w:t>
      </w:r>
      <w:r>
        <w:rPr>
          <w:rFonts w:ascii="宋体" w:hAnsi="宋体" w:cs="宋体"/>
          <w:color w:val="auto"/>
          <w:spacing w:val="-5"/>
        </w:rPr>
        <w:t>］芘日平均浓度限值为</w:t>
      </w:r>
      <w:r>
        <w:rPr>
          <w:rFonts w:ascii="宋体" w:hAnsi="宋体" w:cs="宋体"/>
          <w:color w:val="auto"/>
          <w:spacing w:val="-51"/>
        </w:rPr>
        <w:t xml:space="preserve"> </w:t>
      </w:r>
      <w:r>
        <w:rPr>
          <w:rFonts w:eastAsia="Times New Roman"/>
          <w:color w:val="auto"/>
          <w:spacing w:val="-5"/>
        </w:rPr>
        <w:t>0.0025μg/m³</w:t>
      </w:r>
      <w:r>
        <w:rPr>
          <w:rFonts w:eastAsia="Times New Roman"/>
          <w:color w:val="auto"/>
          <w:spacing w:val="-34"/>
        </w:rPr>
        <w:t xml:space="preserve"> </w:t>
      </w:r>
      <w:r>
        <w:rPr>
          <w:rFonts w:ascii="宋体" w:hAnsi="宋体" w:cs="宋体"/>
          <w:color w:val="auto"/>
          <w:spacing w:val="-5"/>
        </w:rPr>
        <w:t>,</w:t>
      </w:r>
      <w:r>
        <w:rPr>
          <w:rFonts w:ascii="宋体" w:hAnsi="宋体" w:cs="宋体"/>
          <w:color w:val="auto"/>
        </w:rPr>
        <w:t xml:space="preserve">  </w:t>
      </w:r>
      <w:r>
        <w:rPr>
          <w:rFonts w:ascii="宋体" w:hAnsi="宋体" w:cs="宋体"/>
          <w:color w:val="auto"/>
          <w:spacing w:val="4"/>
        </w:rPr>
        <w:t>因此，苯并［</w:t>
      </w:r>
      <w:r>
        <w:rPr>
          <w:rFonts w:eastAsia="Times New Roman"/>
          <w:color w:val="auto"/>
          <w:spacing w:val="4"/>
        </w:rPr>
        <w:t>a</w:t>
      </w:r>
      <w:r>
        <w:rPr>
          <w:rFonts w:ascii="宋体" w:hAnsi="宋体" w:cs="宋体"/>
          <w:color w:val="auto"/>
          <w:spacing w:val="4"/>
        </w:rPr>
        <w:t>］芘的评价标准值为</w:t>
      </w:r>
      <w:r>
        <w:rPr>
          <w:rFonts w:ascii="宋体" w:hAnsi="宋体" w:cs="宋体"/>
          <w:color w:val="auto"/>
          <w:spacing w:val="-37"/>
        </w:rPr>
        <w:t xml:space="preserve"> </w:t>
      </w:r>
      <w:r>
        <w:rPr>
          <w:rFonts w:eastAsia="Times New Roman"/>
          <w:color w:val="auto"/>
          <w:spacing w:val="4"/>
        </w:rPr>
        <w:t>0.0075μg/m³</w:t>
      </w:r>
      <w:r>
        <w:rPr>
          <w:rFonts w:eastAsia="Times New Roman"/>
          <w:color w:val="auto"/>
          <w:spacing w:val="-18"/>
        </w:rPr>
        <w:t xml:space="preserve"> </w:t>
      </w:r>
      <w:r>
        <w:rPr>
          <w:rFonts w:ascii="宋体" w:hAnsi="宋体" w:cs="宋体"/>
          <w:color w:val="auto"/>
          <w:spacing w:val="-3"/>
        </w:rPr>
        <w:t>。由于沥青烟成分复杂，中</w:t>
      </w:r>
      <w:r>
        <w:rPr>
          <w:color w:val="auto"/>
        </w:rPr>
        <w:t>国尚未制订大气环境质量标准，因此该因子不进行预测。</w:t>
      </w: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snapToGrid w:val="0"/>
        <w:spacing w:line="240" w:lineRule="auto"/>
        <w:ind w:firstLine="0" w:firstLineChars="0"/>
        <w:jc w:val="center"/>
        <w:rPr>
          <w:rFonts w:hint="eastAsia" w:ascii="宋体" w:hAnsi="宋体" w:cs="宋体"/>
          <w:color w:val="auto"/>
        </w:rPr>
      </w:pPr>
      <w:r>
        <w:rPr>
          <w:rFonts w:ascii="宋体" w:hAnsi="宋体" w:cs="宋体"/>
          <w:b/>
          <w:bCs/>
          <w:color w:val="auto"/>
          <w:spacing w:val="5"/>
        </w:rPr>
        <w:t>表</w:t>
      </w:r>
      <w:r>
        <w:rPr>
          <w:rFonts w:ascii="宋体" w:hAnsi="宋体" w:cs="宋体"/>
          <w:color w:val="auto"/>
          <w:spacing w:val="-22"/>
        </w:rPr>
        <w:t xml:space="preserve"> </w:t>
      </w:r>
      <w:r>
        <w:rPr>
          <w:rFonts w:eastAsia="Times New Roman"/>
          <w:b/>
          <w:bCs/>
          <w:color w:val="auto"/>
          <w:spacing w:val="5"/>
        </w:rPr>
        <w:t xml:space="preserve">5-2    </w:t>
      </w:r>
      <w:r>
        <w:rPr>
          <w:rFonts w:ascii="宋体" w:hAnsi="宋体" w:cs="宋体"/>
          <w:b/>
          <w:bCs/>
          <w:color w:val="auto"/>
          <w:spacing w:val="5"/>
        </w:rPr>
        <w:t>评价因子和评价标准一览表</w:t>
      </w:r>
    </w:p>
    <w:tbl>
      <w:tblPr>
        <w:tblStyle w:val="61"/>
        <w:tblW w:w="5001"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69"/>
        <w:gridCol w:w="1269"/>
        <w:gridCol w:w="1593"/>
        <w:gridCol w:w="41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jc w:val="center"/>
        </w:trPr>
        <w:tc>
          <w:tcPr>
            <w:tcW w:w="763" w:type="pct"/>
            <w:vAlign w:val="center"/>
          </w:tcPr>
          <w:p>
            <w:pPr>
              <w:ind w:firstLine="0" w:firstLineChars="0"/>
              <w:jc w:val="center"/>
              <w:rPr>
                <w:color w:val="auto"/>
                <w:sz w:val="21"/>
                <w:szCs w:val="21"/>
              </w:rPr>
            </w:pPr>
            <w:r>
              <w:rPr>
                <w:color w:val="auto"/>
                <w:sz w:val="21"/>
                <w:szCs w:val="21"/>
              </w:rPr>
              <w:t>评价因子</w:t>
            </w:r>
          </w:p>
        </w:tc>
        <w:tc>
          <w:tcPr>
            <w:tcW w:w="763" w:type="pct"/>
            <w:vAlign w:val="center"/>
          </w:tcPr>
          <w:p>
            <w:pPr>
              <w:ind w:firstLine="0" w:firstLineChars="0"/>
              <w:jc w:val="center"/>
              <w:rPr>
                <w:color w:val="auto"/>
                <w:sz w:val="21"/>
                <w:szCs w:val="21"/>
              </w:rPr>
            </w:pPr>
            <w:r>
              <w:rPr>
                <w:color w:val="auto"/>
                <w:sz w:val="21"/>
                <w:szCs w:val="21"/>
              </w:rPr>
              <w:t>平均时段</w:t>
            </w:r>
          </w:p>
        </w:tc>
        <w:tc>
          <w:tcPr>
            <w:tcW w:w="958" w:type="pct"/>
            <w:vAlign w:val="center"/>
          </w:tcPr>
          <w:p>
            <w:pPr>
              <w:ind w:firstLine="0" w:firstLineChars="0"/>
              <w:jc w:val="center"/>
              <w:rPr>
                <w:color w:val="auto"/>
                <w:sz w:val="21"/>
                <w:szCs w:val="21"/>
              </w:rPr>
            </w:pPr>
            <w:r>
              <w:rPr>
                <w:color w:val="auto"/>
                <w:sz w:val="21"/>
                <w:szCs w:val="21"/>
              </w:rPr>
              <w:t>标准值 (μg/m³)</w:t>
            </w:r>
          </w:p>
        </w:tc>
        <w:tc>
          <w:tcPr>
            <w:tcW w:w="2515" w:type="pct"/>
            <w:vAlign w:val="center"/>
          </w:tcPr>
          <w:p>
            <w:pPr>
              <w:ind w:firstLine="0" w:firstLineChars="0"/>
              <w:jc w:val="center"/>
              <w:rPr>
                <w:color w:val="auto"/>
                <w:sz w:val="21"/>
                <w:szCs w:val="21"/>
              </w:rPr>
            </w:pPr>
            <w:r>
              <w:rPr>
                <w:color w:val="auto"/>
                <w:sz w:val="21"/>
                <w:szCs w:val="21"/>
              </w:rPr>
              <w:t>标准来源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763" w:type="pct"/>
            <w:vAlign w:val="center"/>
          </w:tcPr>
          <w:p>
            <w:pPr>
              <w:ind w:firstLine="0" w:firstLineChars="0"/>
              <w:jc w:val="center"/>
              <w:rPr>
                <w:color w:val="auto"/>
                <w:sz w:val="21"/>
                <w:szCs w:val="21"/>
              </w:rPr>
            </w:pPr>
            <w:r>
              <w:rPr>
                <w:color w:val="auto"/>
                <w:sz w:val="21"/>
                <w:szCs w:val="21"/>
              </w:rPr>
              <w:t>TSP</w:t>
            </w:r>
          </w:p>
        </w:tc>
        <w:tc>
          <w:tcPr>
            <w:tcW w:w="763" w:type="pct"/>
            <w:vAlign w:val="center"/>
          </w:tcPr>
          <w:p>
            <w:pPr>
              <w:ind w:firstLine="0" w:firstLineChars="0"/>
              <w:jc w:val="center"/>
              <w:rPr>
                <w:color w:val="auto"/>
                <w:sz w:val="21"/>
                <w:szCs w:val="21"/>
              </w:rPr>
            </w:pPr>
            <w:r>
              <w:rPr>
                <w:color w:val="auto"/>
                <w:sz w:val="21"/>
                <w:szCs w:val="21"/>
              </w:rPr>
              <w:t>1 小时平均</w:t>
            </w:r>
          </w:p>
        </w:tc>
        <w:tc>
          <w:tcPr>
            <w:tcW w:w="958" w:type="pct"/>
            <w:vAlign w:val="center"/>
          </w:tcPr>
          <w:p>
            <w:pPr>
              <w:ind w:firstLine="0" w:firstLineChars="0"/>
              <w:jc w:val="center"/>
              <w:rPr>
                <w:color w:val="auto"/>
                <w:sz w:val="21"/>
                <w:szCs w:val="21"/>
              </w:rPr>
            </w:pPr>
            <w:r>
              <w:rPr>
                <w:color w:val="auto"/>
                <w:sz w:val="21"/>
                <w:szCs w:val="21"/>
              </w:rPr>
              <w:t>900</w:t>
            </w:r>
          </w:p>
        </w:tc>
        <w:tc>
          <w:tcPr>
            <w:tcW w:w="2515" w:type="pct"/>
            <w:vMerge w:val="restart"/>
            <w:tcBorders>
              <w:bottom w:val="nil"/>
            </w:tcBorders>
            <w:vAlign w:val="center"/>
          </w:tcPr>
          <w:p>
            <w:pPr>
              <w:ind w:firstLine="0" w:firstLineChars="0"/>
              <w:jc w:val="center"/>
              <w:rPr>
                <w:color w:val="auto"/>
                <w:sz w:val="21"/>
                <w:szCs w:val="21"/>
              </w:rPr>
            </w:pPr>
            <w:r>
              <w:rPr>
                <w:color w:val="auto"/>
                <w:sz w:val="21"/>
                <w:szCs w:val="21"/>
              </w:rPr>
              <w:t>《环境空气质量标准》（GB3095-2012）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763" w:type="pct"/>
            <w:vAlign w:val="center"/>
          </w:tcPr>
          <w:p>
            <w:pPr>
              <w:ind w:firstLine="0" w:firstLineChars="0"/>
              <w:jc w:val="center"/>
              <w:rPr>
                <w:color w:val="auto"/>
                <w:sz w:val="21"/>
                <w:szCs w:val="21"/>
              </w:rPr>
            </w:pPr>
            <w:r>
              <w:rPr>
                <w:color w:val="auto"/>
                <w:sz w:val="21"/>
                <w:szCs w:val="21"/>
              </w:rPr>
              <w:t>二氧化硫</w:t>
            </w:r>
          </w:p>
        </w:tc>
        <w:tc>
          <w:tcPr>
            <w:tcW w:w="763" w:type="pct"/>
            <w:vAlign w:val="center"/>
          </w:tcPr>
          <w:p>
            <w:pPr>
              <w:ind w:firstLine="0" w:firstLineChars="0"/>
              <w:jc w:val="center"/>
              <w:rPr>
                <w:color w:val="auto"/>
                <w:sz w:val="21"/>
                <w:szCs w:val="21"/>
              </w:rPr>
            </w:pPr>
            <w:r>
              <w:rPr>
                <w:color w:val="auto"/>
                <w:sz w:val="21"/>
                <w:szCs w:val="21"/>
              </w:rPr>
              <w:t>1 小时平均</w:t>
            </w:r>
          </w:p>
        </w:tc>
        <w:tc>
          <w:tcPr>
            <w:tcW w:w="958" w:type="pct"/>
            <w:vAlign w:val="center"/>
          </w:tcPr>
          <w:p>
            <w:pPr>
              <w:ind w:firstLine="0" w:firstLineChars="0"/>
              <w:jc w:val="center"/>
              <w:rPr>
                <w:color w:val="auto"/>
                <w:sz w:val="21"/>
                <w:szCs w:val="21"/>
              </w:rPr>
            </w:pPr>
            <w:r>
              <w:rPr>
                <w:color w:val="auto"/>
                <w:sz w:val="21"/>
                <w:szCs w:val="21"/>
              </w:rPr>
              <w:t>500</w:t>
            </w:r>
          </w:p>
        </w:tc>
        <w:tc>
          <w:tcPr>
            <w:tcW w:w="2515" w:type="pct"/>
            <w:vMerge w:val="continue"/>
            <w:tcBorders>
              <w:top w:val="nil"/>
              <w:bottom w:val="nil"/>
            </w:tcBorders>
            <w:vAlign w:val="center"/>
          </w:tcPr>
          <w:p>
            <w:pPr>
              <w:ind w:firstLine="0" w:firstLineChars="0"/>
              <w:jc w:val="center"/>
              <w:rPr>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763" w:type="pct"/>
            <w:vAlign w:val="center"/>
          </w:tcPr>
          <w:p>
            <w:pPr>
              <w:ind w:firstLine="0" w:firstLineChars="0"/>
              <w:jc w:val="center"/>
              <w:rPr>
                <w:color w:val="auto"/>
                <w:sz w:val="21"/>
                <w:szCs w:val="21"/>
              </w:rPr>
            </w:pPr>
            <w:r>
              <w:rPr>
                <w:color w:val="auto"/>
                <w:sz w:val="21"/>
                <w:szCs w:val="21"/>
              </w:rPr>
              <w:t>氮氧化物</w:t>
            </w:r>
          </w:p>
        </w:tc>
        <w:tc>
          <w:tcPr>
            <w:tcW w:w="763" w:type="pct"/>
            <w:vAlign w:val="center"/>
          </w:tcPr>
          <w:p>
            <w:pPr>
              <w:ind w:firstLine="0" w:firstLineChars="0"/>
              <w:jc w:val="center"/>
              <w:rPr>
                <w:color w:val="auto"/>
                <w:sz w:val="21"/>
                <w:szCs w:val="21"/>
              </w:rPr>
            </w:pPr>
            <w:r>
              <w:rPr>
                <w:color w:val="auto"/>
                <w:sz w:val="21"/>
                <w:szCs w:val="21"/>
              </w:rPr>
              <w:t>1 小时平均</w:t>
            </w:r>
          </w:p>
        </w:tc>
        <w:tc>
          <w:tcPr>
            <w:tcW w:w="958" w:type="pct"/>
            <w:vAlign w:val="center"/>
          </w:tcPr>
          <w:p>
            <w:pPr>
              <w:ind w:firstLine="0" w:firstLineChars="0"/>
              <w:jc w:val="center"/>
              <w:rPr>
                <w:color w:val="auto"/>
                <w:sz w:val="21"/>
                <w:szCs w:val="21"/>
              </w:rPr>
            </w:pPr>
            <w:r>
              <w:rPr>
                <w:color w:val="auto"/>
                <w:sz w:val="21"/>
                <w:szCs w:val="21"/>
              </w:rPr>
              <w:t>250</w:t>
            </w:r>
          </w:p>
        </w:tc>
        <w:tc>
          <w:tcPr>
            <w:tcW w:w="2515" w:type="pct"/>
            <w:vMerge w:val="continue"/>
            <w:tcBorders>
              <w:top w:val="nil"/>
              <w:bottom w:val="nil"/>
            </w:tcBorders>
            <w:vAlign w:val="center"/>
          </w:tcPr>
          <w:p>
            <w:pPr>
              <w:ind w:firstLine="0" w:firstLineChars="0"/>
              <w:jc w:val="center"/>
              <w:rPr>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763" w:type="pct"/>
            <w:vAlign w:val="center"/>
          </w:tcPr>
          <w:p>
            <w:pPr>
              <w:ind w:firstLine="0" w:firstLineChars="0"/>
              <w:jc w:val="center"/>
              <w:rPr>
                <w:color w:val="auto"/>
                <w:sz w:val="21"/>
                <w:szCs w:val="21"/>
              </w:rPr>
            </w:pPr>
            <w:r>
              <w:rPr>
                <w:color w:val="auto"/>
                <w:sz w:val="21"/>
                <w:szCs w:val="21"/>
              </w:rPr>
              <w:t>苯并[a]芘</w:t>
            </w:r>
          </w:p>
        </w:tc>
        <w:tc>
          <w:tcPr>
            <w:tcW w:w="763" w:type="pct"/>
            <w:vAlign w:val="center"/>
          </w:tcPr>
          <w:p>
            <w:pPr>
              <w:ind w:firstLine="0" w:firstLineChars="0"/>
              <w:jc w:val="center"/>
              <w:rPr>
                <w:color w:val="auto"/>
                <w:sz w:val="21"/>
                <w:szCs w:val="21"/>
              </w:rPr>
            </w:pPr>
            <w:r>
              <w:rPr>
                <w:color w:val="auto"/>
                <w:sz w:val="21"/>
                <w:szCs w:val="21"/>
              </w:rPr>
              <w:t>1 小时平均</w:t>
            </w:r>
          </w:p>
        </w:tc>
        <w:tc>
          <w:tcPr>
            <w:tcW w:w="958" w:type="pct"/>
            <w:vAlign w:val="center"/>
          </w:tcPr>
          <w:p>
            <w:pPr>
              <w:ind w:firstLine="0" w:firstLineChars="0"/>
              <w:jc w:val="center"/>
              <w:rPr>
                <w:color w:val="auto"/>
                <w:sz w:val="21"/>
                <w:szCs w:val="21"/>
              </w:rPr>
            </w:pPr>
            <w:r>
              <w:rPr>
                <w:color w:val="auto"/>
                <w:sz w:val="21"/>
                <w:szCs w:val="21"/>
              </w:rPr>
              <w:t>0.0075</w:t>
            </w:r>
          </w:p>
        </w:tc>
        <w:tc>
          <w:tcPr>
            <w:tcW w:w="2515" w:type="pct"/>
            <w:vMerge w:val="continue"/>
            <w:tcBorders>
              <w:top w:val="nil"/>
            </w:tcBorders>
            <w:vAlign w:val="center"/>
          </w:tcPr>
          <w:p>
            <w:pPr>
              <w:ind w:firstLine="0" w:firstLineChars="0"/>
              <w:jc w:val="center"/>
              <w:rPr>
                <w:color w:val="auto"/>
                <w:sz w:val="21"/>
                <w:szCs w:val="21"/>
              </w:rPr>
            </w:pPr>
          </w:p>
        </w:tc>
      </w:tr>
    </w:tbl>
    <w:p>
      <w:pPr>
        <w:pStyle w:val="5"/>
        <w:tabs>
          <w:tab w:val="left" w:pos="3949"/>
        </w:tabs>
        <w:ind w:firstLine="281"/>
        <w:rPr>
          <w:color w:val="auto"/>
        </w:rPr>
      </w:pPr>
      <w:r>
        <w:rPr>
          <w:rFonts w:hint="eastAsia"/>
          <w:color w:val="auto"/>
        </w:rPr>
        <w:t>5.3估算模式参数</w:t>
      </w:r>
    </w:p>
    <w:p>
      <w:pPr>
        <w:ind w:firstLine="480"/>
        <w:rPr>
          <w:color w:val="auto"/>
        </w:rPr>
      </w:pPr>
      <w:r>
        <w:rPr>
          <w:color w:val="auto"/>
        </w:rPr>
        <w:t>本次评价选定的估算模式参数详见下表。</w:t>
      </w:r>
    </w:p>
    <w:p>
      <w:pPr>
        <w:ind w:firstLine="482"/>
        <w:jc w:val="center"/>
        <w:rPr>
          <w:b/>
          <w:bCs/>
          <w:color w:val="auto"/>
          <w:szCs w:val="32"/>
        </w:rPr>
      </w:pPr>
      <w:r>
        <w:rPr>
          <w:rFonts w:hint="eastAsia"/>
          <w:b/>
          <w:bCs/>
          <w:color w:val="auto"/>
          <w:szCs w:val="32"/>
        </w:rPr>
        <w:t xml:space="preserve">表5-3   </w:t>
      </w:r>
      <w:r>
        <w:rPr>
          <w:b/>
          <w:bCs/>
          <w:color w:val="auto"/>
          <w:szCs w:val="32"/>
        </w:rPr>
        <w:t>项目大气影响估算模型参数表</w:t>
      </w:r>
    </w:p>
    <w:tbl>
      <w:tblPr>
        <w:tblStyle w:val="31"/>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704"/>
        <w:gridCol w:w="3530"/>
        <w:gridCol w:w="22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58" w:type="pct"/>
            <w:gridSpan w:val="2"/>
            <w:vAlign w:val="center"/>
          </w:tcPr>
          <w:p>
            <w:pPr>
              <w:pStyle w:val="89"/>
              <w:ind w:firstLine="0" w:firstLineChars="0"/>
              <w:jc w:val="center"/>
              <w:rPr>
                <w:color w:val="auto"/>
                <w:sz w:val="21"/>
                <w:szCs w:val="21"/>
              </w:rPr>
            </w:pPr>
            <w:r>
              <w:rPr>
                <w:rFonts w:hint="eastAsia"/>
                <w:color w:val="auto"/>
                <w:sz w:val="21"/>
                <w:szCs w:val="21"/>
              </w:rPr>
              <w:t>参数</w:t>
            </w:r>
          </w:p>
        </w:tc>
        <w:tc>
          <w:tcPr>
            <w:tcW w:w="1341" w:type="pct"/>
            <w:vAlign w:val="center"/>
          </w:tcPr>
          <w:p>
            <w:pPr>
              <w:pStyle w:val="89"/>
              <w:ind w:firstLine="0" w:firstLineChars="0"/>
              <w:jc w:val="center"/>
              <w:rPr>
                <w:color w:val="auto"/>
                <w:sz w:val="21"/>
                <w:szCs w:val="21"/>
              </w:rPr>
            </w:pPr>
            <w:r>
              <w:rPr>
                <w:rFonts w:hint="eastAsia"/>
                <w:color w:val="auto"/>
                <w:sz w:val="21"/>
                <w:szCs w:val="21"/>
              </w:rPr>
              <w:t>取值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87" w:type="pct"/>
            <w:vMerge w:val="restart"/>
            <w:vAlign w:val="center"/>
          </w:tcPr>
          <w:p>
            <w:pPr>
              <w:pStyle w:val="89"/>
              <w:ind w:firstLine="0" w:firstLineChars="0"/>
              <w:jc w:val="center"/>
              <w:rPr>
                <w:color w:val="auto"/>
                <w:sz w:val="21"/>
                <w:szCs w:val="21"/>
              </w:rPr>
            </w:pPr>
            <w:r>
              <w:rPr>
                <w:rFonts w:hint="eastAsia"/>
                <w:color w:val="auto"/>
                <w:sz w:val="21"/>
                <w:szCs w:val="21"/>
              </w:rPr>
              <w:t>城市/农村选项</w:t>
            </w:r>
          </w:p>
        </w:tc>
        <w:tc>
          <w:tcPr>
            <w:tcW w:w="2070" w:type="pct"/>
            <w:vAlign w:val="center"/>
          </w:tcPr>
          <w:p>
            <w:pPr>
              <w:pStyle w:val="89"/>
              <w:ind w:firstLine="0" w:firstLineChars="0"/>
              <w:jc w:val="center"/>
              <w:rPr>
                <w:color w:val="auto"/>
                <w:sz w:val="21"/>
                <w:szCs w:val="21"/>
              </w:rPr>
            </w:pPr>
            <w:r>
              <w:rPr>
                <w:rFonts w:hint="eastAsia"/>
                <w:color w:val="auto"/>
                <w:sz w:val="21"/>
                <w:szCs w:val="21"/>
              </w:rPr>
              <w:t>城市/农村</w:t>
            </w:r>
          </w:p>
        </w:tc>
        <w:tc>
          <w:tcPr>
            <w:tcW w:w="1341" w:type="pct"/>
            <w:vAlign w:val="center"/>
          </w:tcPr>
          <w:p>
            <w:pPr>
              <w:pStyle w:val="89"/>
              <w:ind w:firstLine="0" w:firstLineChars="0"/>
              <w:jc w:val="center"/>
              <w:rPr>
                <w:rFonts w:hint="eastAsia" w:eastAsia="宋体"/>
                <w:color w:val="auto"/>
                <w:sz w:val="21"/>
                <w:szCs w:val="21"/>
                <w:lang w:eastAsia="zh-CN"/>
              </w:rPr>
            </w:pPr>
            <w:r>
              <w:rPr>
                <w:rFonts w:hint="eastAsia"/>
                <w:color w:val="auto"/>
                <w:sz w:val="21"/>
                <w:szCs w:val="21"/>
                <w:lang w:val="en-US" w:eastAsia="zh-CN"/>
              </w:rPr>
              <w:t>城市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87" w:type="pct"/>
            <w:vMerge w:val="continue"/>
            <w:vAlign w:val="center"/>
          </w:tcPr>
          <w:p>
            <w:pPr>
              <w:pStyle w:val="89"/>
              <w:ind w:firstLine="0" w:firstLineChars="0"/>
              <w:jc w:val="center"/>
              <w:rPr>
                <w:color w:val="auto"/>
                <w:sz w:val="21"/>
                <w:szCs w:val="21"/>
              </w:rPr>
            </w:pPr>
          </w:p>
        </w:tc>
        <w:tc>
          <w:tcPr>
            <w:tcW w:w="2070" w:type="pct"/>
            <w:vAlign w:val="center"/>
          </w:tcPr>
          <w:p>
            <w:pPr>
              <w:pStyle w:val="89"/>
              <w:ind w:firstLine="0" w:firstLineChars="0"/>
              <w:jc w:val="center"/>
              <w:rPr>
                <w:color w:val="auto"/>
                <w:sz w:val="21"/>
                <w:szCs w:val="21"/>
              </w:rPr>
            </w:pPr>
            <w:r>
              <w:rPr>
                <w:rFonts w:hint="eastAsia"/>
                <w:color w:val="auto"/>
                <w:sz w:val="21"/>
                <w:szCs w:val="21"/>
              </w:rPr>
              <w:t>人口数（城市选项时）</w:t>
            </w:r>
          </w:p>
        </w:tc>
        <w:tc>
          <w:tcPr>
            <w:tcW w:w="1341" w:type="pct"/>
            <w:vAlign w:val="center"/>
          </w:tcPr>
          <w:p>
            <w:pPr>
              <w:pStyle w:val="89"/>
              <w:ind w:firstLine="0" w:firstLineChars="0"/>
              <w:jc w:val="center"/>
              <w:rPr>
                <w:color w:val="auto"/>
                <w:sz w:val="21"/>
                <w:szCs w:val="21"/>
              </w:rPr>
            </w:pPr>
            <w:r>
              <w:rPr>
                <w:rFonts w:hint="eastAsia"/>
                <w:color w:val="auto"/>
                <w:sz w:val="21"/>
                <w:szCs w:val="21"/>
              </w:rPr>
              <w:t>12000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58" w:type="pct"/>
            <w:gridSpan w:val="2"/>
            <w:vAlign w:val="center"/>
          </w:tcPr>
          <w:p>
            <w:pPr>
              <w:pStyle w:val="89"/>
              <w:ind w:firstLine="0" w:firstLineChars="0"/>
              <w:jc w:val="center"/>
              <w:rPr>
                <w:color w:val="auto"/>
                <w:sz w:val="21"/>
                <w:szCs w:val="21"/>
              </w:rPr>
            </w:pPr>
            <w:r>
              <w:rPr>
                <w:rFonts w:hint="eastAsia"/>
                <w:color w:val="auto"/>
                <w:sz w:val="21"/>
                <w:szCs w:val="21"/>
              </w:rPr>
              <w:t>最高环境温度/℃</w:t>
            </w:r>
          </w:p>
        </w:tc>
        <w:tc>
          <w:tcPr>
            <w:tcW w:w="1341" w:type="pct"/>
            <w:vAlign w:val="center"/>
          </w:tcPr>
          <w:p>
            <w:pPr>
              <w:pStyle w:val="89"/>
              <w:ind w:firstLine="0" w:firstLineChars="0"/>
              <w:jc w:val="center"/>
              <w:rPr>
                <w:color w:val="auto"/>
                <w:sz w:val="21"/>
                <w:szCs w:val="21"/>
              </w:rPr>
            </w:pPr>
            <w:r>
              <w:rPr>
                <w:rFonts w:hint="eastAsia"/>
                <w:color w:val="auto"/>
                <w:sz w:val="21"/>
                <w:szCs w:val="21"/>
              </w:rPr>
              <w:t>28.6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58" w:type="pct"/>
            <w:gridSpan w:val="2"/>
            <w:vAlign w:val="center"/>
          </w:tcPr>
          <w:p>
            <w:pPr>
              <w:pStyle w:val="89"/>
              <w:ind w:firstLine="0" w:firstLineChars="0"/>
              <w:jc w:val="center"/>
              <w:rPr>
                <w:color w:val="auto"/>
                <w:sz w:val="21"/>
                <w:szCs w:val="21"/>
              </w:rPr>
            </w:pPr>
            <w:r>
              <w:rPr>
                <w:rFonts w:hint="eastAsia"/>
                <w:color w:val="auto"/>
                <w:sz w:val="21"/>
                <w:szCs w:val="21"/>
              </w:rPr>
              <w:t>最低环境温度/℃</w:t>
            </w:r>
          </w:p>
        </w:tc>
        <w:tc>
          <w:tcPr>
            <w:tcW w:w="1341" w:type="pct"/>
            <w:vAlign w:val="center"/>
          </w:tcPr>
          <w:p>
            <w:pPr>
              <w:pStyle w:val="89"/>
              <w:ind w:firstLine="0" w:firstLineChars="0"/>
              <w:jc w:val="center"/>
              <w:rPr>
                <w:color w:val="auto"/>
                <w:sz w:val="21"/>
                <w:szCs w:val="21"/>
              </w:rPr>
            </w:pPr>
            <w:r>
              <w:rPr>
                <w:rFonts w:hint="eastAsia"/>
                <w:color w:val="auto"/>
                <w:sz w:val="21"/>
                <w:szCs w:val="21"/>
              </w:rPr>
              <w:t>-37.2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58" w:type="pct"/>
            <w:gridSpan w:val="2"/>
            <w:vAlign w:val="center"/>
          </w:tcPr>
          <w:p>
            <w:pPr>
              <w:pStyle w:val="89"/>
              <w:ind w:firstLine="0" w:firstLineChars="0"/>
              <w:jc w:val="center"/>
              <w:rPr>
                <w:color w:val="auto"/>
                <w:sz w:val="21"/>
                <w:szCs w:val="21"/>
              </w:rPr>
            </w:pPr>
            <w:r>
              <w:rPr>
                <w:rFonts w:hint="eastAsia"/>
                <w:color w:val="auto"/>
                <w:sz w:val="21"/>
                <w:szCs w:val="21"/>
              </w:rPr>
              <w:t>土地利用类型</w:t>
            </w:r>
          </w:p>
        </w:tc>
        <w:tc>
          <w:tcPr>
            <w:tcW w:w="1341" w:type="pct"/>
            <w:vAlign w:val="center"/>
          </w:tcPr>
          <w:p>
            <w:pPr>
              <w:pStyle w:val="89"/>
              <w:ind w:firstLine="0" w:firstLineChars="0"/>
              <w:jc w:val="center"/>
              <w:rPr>
                <w:color w:val="auto"/>
                <w:sz w:val="21"/>
                <w:szCs w:val="21"/>
              </w:rPr>
            </w:pPr>
            <w:r>
              <w:rPr>
                <w:rFonts w:hint="eastAsia"/>
                <w:color w:val="auto"/>
                <w:sz w:val="21"/>
                <w:szCs w:val="21"/>
              </w:rPr>
              <w:t>工业用地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58" w:type="pct"/>
            <w:gridSpan w:val="2"/>
            <w:vAlign w:val="center"/>
          </w:tcPr>
          <w:p>
            <w:pPr>
              <w:pStyle w:val="89"/>
              <w:ind w:firstLine="0" w:firstLineChars="0"/>
              <w:jc w:val="center"/>
              <w:rPr>
                <w:color w:val="auto"/>
                <w:sz w:val="21"/>
                <w:szCs w:val="21"/>
              </w:rPr>
            </w:pPr>
            <w:r>
              <w:rPr>
                <w:rFonts w:hint="eastAsia"/>
                <w:color w:val="auto"/>
                <w:sz w:val="21"/>
                <w:szCs w:val="21"/>
              </w:rPr>
              <w:t>区域湿度条件</w:t>
            </w:r>
          </w:p>
        </w:tc>
        <w:tc>
          <w:tcPr>
            <w:tcW w:w="1341" w:type="pct"/>
            <w:vAlign w:val="center"/>
          </w:tcPr>
          <w:p>
            <w:pPr>
              <w:pStyle w:val="89"/>
              <w:ind w:firstLine="0" w:firstLineChars="0"/>
              <w:jc w:val="center"/>
              <w:rPr>
                <w:color w:val="auto"/>
                <w:sz w:val="21"/>
                <w:szCs w:val="21"/>
              </w:rPr>
            </w:pPr>
            <w:r>
              <w:rPr>
                <w:rFonts w:hint="eastAsia"/>
                <w:color w:val="auto"/>
                <w:sz w:val="21"/>
                <w:szCs w:val="21"/>
              </w:rPr>
              <w:t>干燥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87" w:type="pct"/>
            <w:vMerge w:val="restart"/>
            <w:vAlign w:val="center"/>
          </w:tcPr>
          <w:p>
            <w:pPr>
              <w:pStyle w:val="89"/>
              <w:ind w:firstLine="0" w:firstLineChars="0"/>
              <w:jc w:val="center"/>
              <w:rPr>
                <w:color w:val="auto"/>
                <w:sz w:val="21"/>
                <w:szCs w:val="21"/>
              </w:rPr>
            </w:pPr>
            <w:r>
              <w:rPr>
                <w:rFonts w:hint="eastAsia"/>
                <w:color w:val="auto"/>
                <w:sz w:val="21"/>
                <w:szCs w:val="21"/>
              </w:rPr>
              <w:t>是否考虑地形</w:t>
            </w:r>
          </w:p>
        </w:tc>
        <w:tc>
          <w:tcPr>
            <w:tcW w:w="2070" w:type="pct"/>
            <w:vAlign w:val="center"/>
          </w:tcPr>
          <w:p>
            <w:pPr>
              <w:pStyle w:val="89"/>
              <w:ind w:firstLine="0" w:firstLineChars="0"/>
              <w:jc w:val="center"/>
              <w:rPr>
                <w:color w:val="auto"/>
                <w:sz w:val="21"/>
                <w:szCs w:val="21"/>
              </w:rPr>
            </w:pPr>
            <w:r>
              <w:rPr>
                <w:rFonts w:hint="eastAsia"/>
                <w:color w:val="auto"/>
                <w:sz w:val="21"/>
                <w:szCs w:val="21"/>
              </w:rPr>
              <w:t>考虑地形</w:t>
            </w:r>
          </w:p>
        </w:tc>
        <w:tc>
          <w:tcPr>
            <w:tcW w:w="1341" w:type="pct"/>
            <w:vAlign w:val="center"/>
          </w:tcPr>
          <w:p>
            <w:pPr>
              <w:pStyle w:val="89"/>
              <w:ind w:firstLine="0" w:firstLineChars="0"/>
              <w:jc w:val="center"/>
              <w:rPr>
                <w:color w:val="auto"/>
                <w:sz w:val="21"/>
                <w:szCs w:val="21"/>
              </w:rPr>
            </w:pPr>
            <w:r>
              <w:rPr>
                <w:color w:val="auto"/>
                <w:sz w:val="21"/>
                <w:szCs w:val="21"/>
              </w:rPr>
              <w:fldChar w:fldCharType="begin"/>
            </w:r>
            <w:r>
              <w:rPr>
                <w:rFonts w:hint="eastAsia"/>
                <w:color w:val="auto"/>
                <w:sz w:val="21"/>
                <w:szCs w:val="21"/>
              </w:rPr>
              <w:instrText xml:space="preserve">eq \o\ac(□,√)</w:instrText>
            </w:r>
            <w:r>
              <w:rPr>
                <w:color w:val="auto"/>
                <w:sz w:val="21"/>
                <w:szCs w:val="21"/>
              </w:rPr>
              <w:fldChar w:fldCharType="end"/>
            </w:r>
            <w:r>
              <w:rPr>
                <w:rFonts w:hint="eastAsia"/>
                <w:color w:val="auto"/>
                <w:sz w:val="21"/>
                <w:szCs w:val="21"/>
              </w:rPr>
              <w:t>是口否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87" w:type="pct"/>
            <w:vMerge w:val="continue"/>
            <w:vAlign w:val="center"/>
          </w:tcPr>
          <w:p>
            <w:pPr>
              <w:pStyle w:val="89"/>
              <w:ind w:firstLine="0" w:firstLineChars="0"/>
              <w:jc w:val="center"/>
              <w:rPr>
                <w:color w:val="auto"/>
                <w:sz w:val="21"/>
                <w:szCs w:val="21"/>
              </w:rPr>
            </w:pPr>
          </w:p>
        </w:tc>
        <w:tc>
          <w:tcPr>
            <w:tcW w:w="2070" w:type="pct"/>
            <w:vAlign w:val="center"/>
          </w:tcPr>
          <w:p>
            <w:pPr>
              <w:pStyle w:val="89"/>
              <w:ind w:firstLine="0" w:firstLineChars="0"/>
              <w:jc w:val="center"/>
              <w:rPr>
                <w:color w:val="auto"/>
                <w:sz w:val="21"/>
                <w:szCs w:val="21"/>
              </w:rPr>
            </w:pPr>
            <w:r>
              <w:rPr>
                <w:rFonts w:hint="eastAsia"/>
                <w:color w:val="auto"/>
                <w:sz w:val="21"/>
                <w:szCs w:val="21"/>
              </w:rPr>
              <w:t>地形数据分辨率/m</w:t>
            </w:r>
          </w:p>
        </w:tc>
        <w:tc>
          <w:tcPr>
            <w:tcW w:w="1341" w:type="pct"/>
            <w:vAlign w:val="center"/>
          </w:tcPr>
          <w:p>
            <w:pPr>
              <w:pStyle w:val="89"/>
              <w:ind w:firstLine="0" w:firstLineChars="0"/>
              <w:jc w:val="center"/>
              <w:rPr>
                <w:color w:val="auto"/>
                <w:sz w:val="21"/>
                <w:szCs w:val="21"/>
              </w:rPr>
            </w:pPr>
            <w:r>
              <w:rPr>
                <w:rFonts w:hint="eastAsia"/>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87" w:type="pct"/>
            <w:vMerge w:val="restart"/>
            <w:vAlign w:val="center"/>
          </w:tcPr>
          <w:p>
            <w:pPr>
              <w:pStyle w:val="89"/>
              <w:ind w:firstLine="0" w:firstLineChars="0"/>
              <w:jc w:val="center"/>
              <w:rPr>
                <w:color w:val="auto"/>
                <w:sz w:val="21"/>
                <w:szCs w:val="21"/>
              </w:rPr>
            </w:pPr>
            <w:r>
              <w:rPr>
                <w:rFonts w:hint="eastAsia"/>
                <w:color w:val="auto"/>
                <w:sz w:val="21"/>
                <w:szCs w:val="21"/>
              </w:rPr>
              <w:t>是否考虑岸线熏烟</w:t>
            </w:r>
          </w:p>
        </w:tc>
        <w:tc>
          <w:tcPr>
            <w:tcW w:w="2070" w:type="pct"/>
            <w:vAlign w:val="center"/>
          </w:tcPr>
          <w:p>
            <w:pPr>
              <w:pStyle w:val="89"/>
              <w:ind w:firstLine="0" w:firstLineChars="0"/>
              <w:jc w:val="center"/>
              <w:rPr>
                <w:color w:val="auto"/>
                <w:sz w:val="21"/>
                <w:szCs w:val="21"/>
              </w:rPr>
            </w:pPr>
            <w:r>
              <w:rPr>
                <w:rFonts w:hint="eastAsia"/>
                <w:color w:val="auto"/>
                <w:sz w:val="21"/>
                <w:szCs w:val="21"/>
              </w:rPr>
              <w:t>考虑岸线熏烟/km</w:t>
            </w:r>
          </w:p>
        </w:tc>
        <w:tc>
          <w:tcPr>
            <w:tcW w:w="1341" w:type="pct"/>
            <w:vAlign w:val="center"/>
          </w:tcPr>
          <w:p>
            <w:pPr>
              <w:pStyle w:val="89"/>
              <w:ind w:firstLine="0" w:firstLineChars="0"/>
              <w:jc w:val="center"/>
              <w:rPr>
                <w:color w:val="auto"/>
                <w:sz w:val="21"/>
                <w:szCs w:val="21"/>
              </w:rPr>
            </w:pPr>
            <w:r>
              <w:rPr>
                <w:rFonts w:hint="eastAsia"/>
                <w:color w:val="auto"/>
                <w:sz w:val="21"/>
                <w:szCs w:val="21"/>
              </w:rPr>
              <w:t>口是</w:t>
            </w:r>
            <w:r>
              <w:rPr>
                <w:color w:val="auto"/>
                <w:sz w:val="21"/>
                <w:szCs w:val="21"/>
              </w:rPr>
              <w:fldChar w:fldCharType="begin"/>
            </w:r>
            <w:r>
              <w:rPr>
                <w:rFonts w:hint="eastAsia"/>
                <w:color w:val="auto"/>
                <w:sz w:val="21"/>
                <w:szCs w:val="21"/>
              </w:rPr>
              <w:instrText xml:space="preserve">eq \o\ac(</w:instrText>
            </w:r>
            <w:r>
              <w:rPr>
                <w:rFonts w:hint="eastAsia"/>
                <w:color w:val="auto"/>
                <w:position w:val="-4"/>
                <w:sz w:val="31"/>
                <w:szCs w:val="21"/>
              </w:rPr>
              <w:instrText xml:space="preserve">□</w:instrText>
            </w:r>
            <w:r>
              <w:rPr>
                <w:rFonts w:hint="eastAsia"/>
                <w:color w:val="auto"/>
                <w:sz w:val="21"/>
                <w:szCs w:val="21"/>
              </w:rPr>
              <w:instrText xml:space="preserve">,√)</w:instrText>
            </w:r>
            <w:r>
              <w:rPr>
                <w:color w:val="auto"/>
                <w:sz w:val="21"/>
                <w:szCs w:val="21"/>
              </w:rPr>
              <w:fldChar w:fldCharType="end"/>
            </w:r>
            <w:r>
              <w:rPr>
                <w:rFonts w:hint="eastAsia"/>
                <w:color w:val="auto"/>
                <w:sz w:val="21"/>
                <w:szCs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87" w:type="pct"/>
            <w:vMerge w:val="continue"/>
            <w:vAlign w:val="center"/>
          </w:tcPr>
          <w:p>
            <w:pPr>
              <w:pStyle w:val="89"/>
              <w:spacing w:line="240" w:lineRule="auto"/>
              <w:ind w:firstLine="0" w:firstLineChars="0"/>
              <w:jc w:val="center"/>
              <w:rPr>
                <w:color w:val="auto"/>
              </w:rPr>
            </w:pPr>
          </w:p>
        </w:tc>
        <w:tc>
          <w:tcPr>
            <w:tcW w:w="2070" w:type="pct"/>
            <w:vAlign w:val="center"/>
          </w:tcPr>
          <w:p>
            <w:pPr>
              <w:pStyle w:val="89"/>
              <w:spacing w:line="240" w:lineRule="auto"/>
              <w:ind w:firstLine="0" w:firstLineChars="0"/>
              <w:jc w:val="center"/>
              <w:rPr>
                <w:color w:val="auto"/>
                <w:sz w:val="21"/>
                <w:szCs w:val="21"/>
              </w:rPr>
            </w:pPr>
            <w:r>
              <w:rPr>
                <w:rFonts w:hint="eastAsia"/>
                <w:color w:val="auto"/>
                <w:sz w:val="21"/>
                <w:szCs w:val="21"/>
              </w:rPr>
              <w:t>岸线方向/°</w:t>
            </w:r>
          </w:p>
        </w:tc>
        <w:tc>
          <w:tcPr>
            <w:tcW w:w="1341" w:type="pct"/>
            <w:vAlign w:val="center"/>
          </w:tcPr>
          <w:p>
            <w:pPr>
              <w:pStyle w:val="89"/>
              <w:spacing w:line="240" w:lineRule="auto"/>
              <w:ind w:firstLine="0" w:firstLineChars="0"/>
              <w:jc w:val="center"/>
              <w:rPr>
                <w:color w:val="auto"/>
                <w:sz w:val="21"/>
                <w:szCs w:val="21"/>
              </w:rPr>
            </w:pPr>
            <w:r>
              <w:rPr>
                <w:rFonts w:hint="eastAsia"/>
                <w:color w:val="auto"/>
                <w:sz w:val="21"/>
                <w:szCs w:val="21"/>
              </w:rPr>
              <w:t>/</w:t>
            </w:r>
          </w:p>
        </w:tc>
      </w:tr>
    </w:tbl>
    <w:p>
      <w:pPr>
        <w:pStyle w:val="5"/>
        <w:tabs>
          <w:tab w:val="left" w:pos="3949"/>
        </w:tabs>
        <w:ind w:firstLine="281"/>
        <w:rPr>
          <w:color w:val="auto"/>
        </w:rPr>
      </w:pPr>
      <w:r>
        <w:rPr>
          <w:rFonts w:hint="eastAsia"/>
          <w:color w:val="auto"/>
        </w:rPr>
        <w:t>5.4污染源数据</w:t>
      </w:r>
    </w:p>
    <w:p>
      <w:pPr>
        <w:ind w:firstLine="480"/>
        <w:rPr>
          <w:color w:val="auto"/>
        </w:rPr>
      </w:pPr>
      <w:r>
        <w:rPr>
          <w:color w:val="auto"/>
        </w:rPr>
        <w:t>项目有组织废气污染源数据清单见下表。</w:t>
      </w: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0" w:firstLineChars="0"/>
        <w:jc w:val="center"/>
        <w:rPr>
          <w:b/>
          <w:bCs/>
          <w:color w:val="auto"/>
        </w:rPr>
      </w:pPr>
      <w:r>
        <w:rPr>
          <w:b/>
          <w:bCs/>
          <w:color w:val="auto"/>
        </w:rPr>
        <w:t>表 5-4    项目有组织排放废气污染源参数一览表</w:t>
      </w:r>
    </w:p>
    <w:tbl>
      <w:tblPr>
        <w:tblStyle w:val="61"/>
        <w:tblW w:w="499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10"/>
        <w:gridCol w:w="721"/>
        <w:gridCol w:w="652"/>
        <w:gridCol w:w="949"/>
        <w:gridCol w:w="854"/>
        <w:gridCol w:w="559"/>
        <w:gridCol w:w="846"/>
        <w:gridCol w:w="951"/>
        <w:gridCol w:w="953"/>
        <w:gridCol w:w="12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jc w:val="center"/>
        </w:trPr>
        <w:tc>
          <w:tcPr>
            <w:tcW w:w="367" w:type="pct"/>
            <w:vMerge w:val="restart"/>
            <w:tcBorders>
              <w:bottom w:val="nil"/>
            </w:tcBorders>
            <w:vAlign w:val="center"/>
          </w:tcPr>
          <w:p>
            <w:pPr>
              <w:ind w:firstLine="0" w:firstLineChars="0"/>
              <w:jc w:val="center"/>
              <w:rPr>
                <w:color w:val="auto"/>
                <w:sz w:val="18"/>
                <w:szCs w:val="18"/>
              </w:rPr>
            </w:pPr>
            <w:r>
              <w:rPr>
                <w:color w:val="auto"/>
                <w:sz w:val="18"/>
                <w:szCs w:val="18"/>
              </w:rPr>
              <w:t>点 源 编 号</w:t>
            </w:r>
          </w:p>
        </w:tc>
        <w:tc>
          <w:tcPr>
            <w:tcW w:w="434" w:type="pct"/>
            <w:vMerge w:val="restart"/>
            <w:tcBorders>
              <w:bottom w:val="nil"/>
            </w:tcBorders>
            <w:vAlign w:val="center"/>
          </w:tcPr>
          <w:p>
            <w:pPr>
              <w:ind w:firstLine="0" w:firstLineChars="0"/>
              <w:jc w:val="center"/>
              <w:rPr>
                <w:color w:val="auto"/>
                <w:sz w:val="18"/>
                <w:szCs w:val="18"/>
              </w:rPr>
            </w:pPr>
          </w:p>
          <w:p>
            <w:pPr>
              <w:ind w:firstLine="0" w:firstLineChars="0"/>
              <w:jc w:val="center"/>
              <w:rPr>
                <w:color w:val="auto"/>
                <w:sz w:val="18"/>
                <w:szCs w:val="18"/>
              </w:rPr>
            </w:pPr>
            <w:r>
              <w:rPr>
                <w:color w:val="auto"/>
                <w:sz w:val="18"/>
                <w:szCs w:val="18"/>
              </w:rPr>
              <w:t>名称</w:t>
            </w:r>
          </w:p>
        </w:tc>
        <w:tc>
          <w:tcPr>
            <w:tcW w:w="392" w:type="pct"/>
            <w:vMerge w:val="restart"/>
            <w:tcBorders>
              <w:bottom w:val="nil"/>
            </w:tcBorders>
            <w:vAlign w:val="center"/>
          </w:tcPr>
          <w:p>
            <w:pPr>
              <w:ind w:firstLine="0" w:firstLineChars="0"/>
              <w:jc w:val="center"/>
              <w:rPr>
                <w:color w:val="auto"/>
                <w:sz w:val="18"/>
                <w:szCs w:val="18"/>
              </w:rPr>
            </w:pPr>
            <w:r>
              <w:rPr>
                <w:color w:val="auto"/>
                <w:sz w:val="18"/>
                <w:szCs w:val="18"/>
              </w:rPr>
              <w:t>排气 筒高 度/m</w:t>
            </w:r>
          </w:p>
        </w:tc>
        <w:tc>
          <w:tcPr>
            <w:tcW w:w="571" w:type="pct"/>
            <w:vMerge w:val="restart"/>
            <w:tcBorders>
              <w:bottom w:val="nil"/>
            </w:tcBorders>
            <w:vAlign w:val="center"/>
          </w:tcPr>
          <w:p>
            <w:pPr>
              <w:ind w:firstLine="0" w:firstLineChars="0"/>
              <w:jc w:val="center"/>
              <w:rPr>
                <w:color w:val="auto"/>
                <w:sz w:val="18"/>
                <w:szCs w:val="18"/>
              </w:rPr>
            </w:pPr>
            <w:r>
              <w:rPr>
                <w:color w:val="auto"/>
                <w:sz w:val="18"/>
                <w:szCs w:val="18"/>
              </w:rPr>
              <w:t>排气筒内径/m</w:t>
            </w:r>
          </w:p>
        </w:tc>
        <w:tc>
          <w:tcPr>
            <w:tcW w:w="514" w:type="pct"/>
            <w:vMerge w:val="restart"/>
            <w:tcBorders>
              <w:bottom w:val="nil"/>
            </w:tcBorders>
            <w:vAlign w:val="center"/>
          </w:tcPr>
          <w:p>
            <w:pPr>
              <w:ind w:firstLine="0" w:firstLineChars="0"/>
              <w:jc w:val="center"/>
              <w:rPr>
                <w:color w:val="auto"/>
                <w:sz w:val="18"/>
                <w:szCs w:val="18"/>
              </w:rPr>
            </w:pPr>
            <w:r>
              <w:rPr>
                <w:color w:val="auto"/>
                <w:sz w:val="18"/>
                <w:szCs w:val="18"/>
              </w:rPr>
              <w:t>烟气温度 /℃</w:t>
            </w:r>
          </w:p>
        </w:tc>
        <w:tc>
          <w:tcPr>
            <w:tcW w:w="336" w:type="pct"/>
            <w:vMerge w:val="restart"/>
            <w:tcBorders>
              <w:bottom w:val="nil"/>
            </w:tcBorders>
            <w:vAlign w:val="center"/>
          </w:tcPr>
          <w:p>
            <w:pPr>
              <w:ind w:firstLine="0" w:firstLineChars="0"/>
              <w:jc w:val="center"/>
              <w:rPr>
                <w:color w:val="auto"/>
                <w:sz w:val="18"/>
                <w:szCs w:val="18"/>
              </w:rPr>
            </w:pPr>
            <w:r>
              <w:rPr>
                <w:color w:val="auto"/>
                <w:sz w:val="18"/>
                <w:szCs w:val="18"/>
              </w:rPr>
              <w:t>排 放 工 况</w:t>
            </w:r>
          </w:p>
        </w:tc>
        <w:tc>
          <w:tcPr>
            <w:tcW w:w="2383" w:type="pct"/>
            <w:gridSpan w:val="4"/>
            <w:vAlign w:val="center"/>
          </w:tcPr>
          <w:p>
            <w:pPr>
              <w:ind w:firstLine="0" w:firstLineChars="0"/>
              <w:jc w:val="center"/>
              <w:rPr>
                <w:color w:val="auto"/>
                <w:sz w:val="18"/>
                <w:szCs w:val="18"/>
              </w:rPr>
            </w:pPr>
            <w:r>
              <w:rPr>
                <w:color w:val="auto"/>
                <w:sz w:val="18"/>
                <w:szCs w:val="18"/>
              </w:rPr>
              <w:t>污染物排放速率/（kg/h）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0" w:hRule="atLeast"/>
          <w:jc w:val="center"/>
        </w:trPr>
        <w:tc>
          <w:tcPr>
            <w:tcW w:w="367" w:type="pct"/>
            <w:vMerge w:val="continue"/>
            <w:tcBorders>
              <w:top w:val="nil"/>
            </w:tcBorders>
            <w:textDirection w:val="tbRlV"/>
            <w:vAlign w:val="center"/>
          </w:tcPr>
          <w:p>
            <w:pPr>
              <w:ind w:firstLine="0" w:firstLineChars="0"/>
              <w:jc w:val="center"/>
              <w:rPr>
                <w:color w:val="auto"/>
                <w:sz w:val="18"/>
                <w:szCs w:val="18"/>
              </w:rPr>
            </w:pPr>
          </w:p>
        </w:tc>
        <w:tc>
          <w:tcPr>
            <w:tcW w:w="434" w:type="pct"/>
            <w:vMerge w:val="continue"/>
            <w:tcBorders>
              <w:top w:val="nil"/>
            </w:tcBorders>
            <w:vAlign w:val="center"/>
          </w:tcPr>
          <w:p>
            <w:pPr>
              <w:ind w:firstLine="0" w:firstLineChars="0"/>
              <w:jc w:val="center"/>
              <w:rPr>
                <w:color w:val="auto"/>
                <w:sz w:val="18"/>
                <w:szCs w:val="18"/>
              </w:rPr>
            </w:pPr>
          </w:p>
        </w:tc>
        <w:tc>
          <w:tcPr>
            <w:tcW w:w="392" w:type="pct"/>
            <w:vMerge w:val="continue"/>
            <w:tcBorders>
              <w:top w:val="nil"/>
            </w:tcBorders>
            <w:vAlign w:val="center"/>
          </w:tcPr>
          <w:p>
            <w:pPr>
              <w:ind w:firstLine="0" w:firstLineChars="0"/>
              <w:jc w:val="center"/>
              <w:rPr>
                <w:color w:val="auto"/>
                <w:sz w:val="18"/>
                <w:szCs w:val="18"/>
              </w:rPr>
            </w:pPr>
          </w:p>
        </w:tc>
        <w:tc>
          <w:tcPr>
            <w:tcW w:w="571" w:type="pct"/>
            <w:vMerge w:val="continue"/>
            <w:tcBorders>
              <w:top w:val="nil"/>
            </w:tcBorders>
            <w:vAlign w:val="center"/>
          </w:tcPr>
          <w:p>
            <w:pPr>
              <w:ind w:firstLine="0" w:firstLineChars="0"/>
              <w:jc w:val="center"/>
              <w:rPr>
                <w:color w:val="auto"/>
                <w:sz w:val="18"/>
                <w:szCs w:val="18"/>
              </w:rPr>
            </w:pPr>
          </w:p>
        </w:tc>
        <w:tc>
          <w:tcPr>
            <w:tcW w:w="514" w:type="pct"/>
            <w:vMerge w:val="continue"/>
            <w:tcBorders>
              <w:top w:val="nil"/>
            </w:tcBorders>
            <w:vAlign w:val="center"/>
          </w:tcPr>
          <w:p>
            <w:pPr>
              <w:ind w:firstLine="0" w:firstLineChars="0"/>
              <w:jc w:val="center"/>
              <w:rPr>
                <w:color w:val="auto"/>
                <w:sz w:val="18"/>
                <w:szCs w:val="18"/>
              </w:rPr>
            </w:pPr>
          </w:p>
        </w:tc>
        <w:tc>
          <w:tcPr>
            <w:tcW w:w="336" w:type="pct"/>
            <w:vMerge w:val="continue"/>
            <w:tcBorders>
              <w:top w:val="nil"/>
            </w:tcBorders>
            <w:textDirection w:val="tbRlV"/>
            <w:vAlign w:val="center"/>
          </w:tcPr>
          <w:p>
            <w:pPr>
              <w:ind w:firstLine="0" w:firstLineChars="0"/>
              <w:jc w:val="center"/>
              <w:rPr>
                <w:color w:val="auto"/>
                <w:sz w:val="18"/>
                <w:szCs w:val="18"/>
              </w:rPr>
            </w:pPr>
          </w:p>
        </w:tc>
        <w:tc>
          <w:tcPr>
            <w:tcW w:w="509" w:type="pct"/>
            <w:vAlign w:val="center"/>
          </w:tcPr>
          <w:p>
            <w:pPr>
              <w:ind w:firstLine="0" w:firstLineChars="0"/>
              <w:jc w:val="center"/>
              <w:rPr>
                <w:color w:val="auto"/>
                <w:sz w:val="18"/>
                <w:szCs w:val="18"/>
              </w:rPr>
            </w:pPr>
            <w:r>
              <w:rPr>
                <w:color w:val="auto"/>
                <w:sz w:val="18"/>
                <w:szCs w:val="18"/>
              </w:rPr>
              <w:t>颗粒物</w:t>
            </w:r>
          </w:p>
        </w:tc>
        <w:tc>
          <w:tcPr>
            <w:tcW w:w="572" w:type="pct"/>
            <w:vAlign w:val="center"/>
          </w:tcPr>
          <w:p>
            <w:pPr>
              <w:ind w:firstLine="0" w:firstLineChars="0"/>
              <w:jc w:val="center"/>
              <w:rPr>
                <w:color w:val="auto"/>
                <w:sz w:val="18"/>
                <w:szCs w:val="18"/>
              </w:rPr>
            </w:pPr>
            <w:r>
              <w:rPr>
                <w:color w:val="auto"/>
                <w:sz w:val="18"/>
                <w:szCs w:val="18"/>
              </w:rPr>
              <w:t>氮氧化物</w:t>
            </w:r>
          </w:p>
        </w:tc>
        <w:tc>
          <w:tcPr>
            <w:tcW w:w="573" w:type="pct"/>
            <w:vAlign w:val="center"/>
          </w:tcPr>
          <w:p>
            <w:pPr>
              <w:ind w:firstLine="0" w:firstLineChars="0"/>
              <w:jc w:val="center"/>
              <w:rPr>
                <w:color w:val="auto"/>
                <w:sz w:val="18"/>
                <w:szCs w:val="18"/>
              </w:rPr>
            </w:pPr>
            <w:r>
              <w:rPr>
                <w:color w:val="auto"/>
                <w:sz w:val="18"/>
                <w:szCs w:val="18"/>
              </w:rPr>
              <w:t>二氧化硫</w:t>
            </w:r>
          </w:p>
        </w:tc>
        <w:tc>
          <w:tcPr>
            <w:tcW w:w="728" w:type="pct"/>
            <w:vAlign w:val="center"/>
          </w:tcPr>
          <w:p>
            <w:pPr>
              <w:ind w:firstLine="0" w:firstLineChars="0"/>
              <w:jc w:val="center"/>
              <w:rPr>
                <w:color w:val="auto"/>
                <w:sz w:val="18"/>
                <w:szCs w:val="18"/>
              </w:rPr>
            </w:pPr>
            <w:r>
              <w:rPr>
                <w:color w:val="auto"/>
                <w:sz w:val="18"/>
                <w:szCs w:val="18"/>
              </w:rPr>
              <w:t>苯并[a] 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jc w:val="center"/>
        </w:trPr>
        <w:tc>
          <w:tcPr>
            <w:tcW w:w="367" w:type="pct"/>
            <w:vAlign w:val="center"/>
          </w:tcPr>
          <w:p>
            <w:pPr>
              <w:ind w:firstLine="0" w:firstLineChars="0"/>
              <w:jc w:val="center"/>
              <w:rPr>
                <w:color w:val="auto"/>
                <w:sz w:val="18"/>
                <w:szCs w:val="18"/>
              </w:rPr>
            </w:pPr>
            <w:r>
              <w:rPr>
                <w:color w:val="auto"/>
                <w:sz w:val="18"/>
                <w:szCs w:val="18"/>
              </w:rPr>
              <w:t>1</w:t>
            </w:r>
          </w:p>
        </w:tc>
        <w:tc>
          <w:tcPr>
            <w:tcW w:w="434" w:type="pct"/>
            <w:vAlign w:val="center"/>
          </w:tcPr>
          <w:p>
            <w:pPr>
              <w:ind w:firstLine="0" w:firstLineChars="0"/>
              <w:jc w:val="center"/>
              <w:rPr>
                <w:color w:val="auto"/>
                <w:sz w:val="18"/>
                <w:szCs w:val="18"/>
              </w:rPr>
            </w:pPr>
            <w:r>
              <w:rPr>
                <w:color w:val="auto"/>
                <w:sz w:val="18"/>
                <w:szCs w:val="18"/>
              </w:rPr>
              <w:t>DA001</w:t>
            </w:r>
          </w:p>
        </w:tc>
        <w:tc>
          <w:tcPr>
            <w:tcW w:w="392" w:type="pct"/>
            <w:vAlign w:val="center"/>
          </w:tcPr>
          <w:p>
            <w:pPr>
              <w:ind w:firstLine="0" w:firstLineChars="0"/>
              <w:jc w:val="center"/>
              <w:rPr>
                <w:color w:val="auto"/>
                <w:sz w:val="18"/>
                <w:szCs w:val="18"/>
              </w:rPr>
            </w:pPr>
            <w:r>
              <w:rPr>
                <w:rFonts w:hint="eastAsia"/>
                <w:color w:val="auto"/>
                <w:sz w:val="18"/>
                <w:szCs w:val="18"/>
              </w:rPr>
              <w:t>15</w:t>
            </w:r>
          </w:p>
        </w:tc>
        <w:tc>
          <w:tcPr>
            <w:tcW w:w="571" w:type="pct"/>
            <w:vAlign w:val="center"/>
          </w:tcPr>
          <w:p>
            <w:pPr>
              <w:ind w:firstLine="0" w:firstLineChars="0"/>
              <w:jc w:val="center"/>
              <w:rPr>
                <w:color w:val="auto"/>
                <w:sz w:val="18"/>
                <w:szCs w:val="18"/>
              </w:rPr>
            </w:pPr>
            <w:r>
              <w:rPr>
                <w:rFonts w:hint="eastAsia"/>
                <w:color w:val="auto"/>
                <w:sz w:val="18"/>
                <w:szCs w:val="18"/>
              </w:rPr>
              <w:t>0.5</w:t>
            </w:r>
          </w:p>
        </w:tc>
        <w:tc>
          <w:tcPr>
            <w:tcW w:w="514" w:type="pct"/>
            <w:vAlign w:val="center"/>
          </w:tcPr>
          <w:p>
            <w:pPr>
              <w:ind w:firstLine="0" w:firstLineChars="0"/>
              <w:jc w:val="center"/>
              <w:rPr>
                <w:color w:val="auto"/>
                <w:sz w:val="18"/>
                <w:szCs w:val="18"/>
              </w:rPr>
            </w:pPr>
            <w:r>
              <w:rPr>
                <w:rFonts w:hint="eastAsia"/>
                <w:color w:val="auto"/>
                <w:sz w:val="18"/>
                <w:szCs w:val="18"/>
              </w:rPr>
              <w:t>100</w:t>
            </w:r>
          </w:p>
        </w:tc>
        <w:tc>
          <w:tcPr>
            <w:tcW w:w="336" w:type="pct"/>
            <w:vAlign w:val="center"/>
          </w:tcPr>
          <w:p>
            <w:pPr>
              <w:ind w:firstLine="0" w:firstLineChars="0"/>
              <w:jc w:val="center"/>
              <w:rPr>
                <w:color w:val="auto"/>
                <w:sz w:val="18"/>
                <w:szCs w:val="18"/>
              </w:rPr>
            </w:pPr>
            <w:r>
              <w:rPr>
                <w:color w:val="auto"/>
                <w:sz w:val="18"/>
                <w:szCs w:val="18"/>
              </w:rPr>
              <w:t>间 断</w:t>
            </w:r>
          </w:p>
        </w:tc>
        <w:tc>
          <w:tcPr>
            <w:tcW w:w="509" w:type="pct"/>
            <w:vAlign w:val="center"/>
          </w:tcPr>
          <w:p>
            <w:pPr>
              <w:ind w:firstLine="0" w:firstLineChars="0"/>
              <w:jc w:val="center"/>
              <w:rPr>
                <w:color w:val="auto"/>
                <w:sz w:val="18"/>
                <w:szCs w:val="18"/>
              </w:rPr>
            </w:pPr>
            <w:r>
              <w:rPr>
                <w:rFonts w:hint="eastAsia"/>
                <w:color w:val="auto"/>
                <w:sz w:val="18"/>
                <w:szCs w:val="18"/>
              </w:rPr>
              <w:t>0.003</w:t>
            </w:r>
          </w:p>
        </w:tc>
        <w:tc>
          <w:tcPr>
            <w:tcW w:w="572" w:type="pct"/>
            <w:vAlign w:val="center"/>
          </w:tcPr>
          <w:p>
            <w:pPr>
              <w:ind w:firstLine="0" w:firstLineChars="0"/>
              <w:jc w:val="center"/>
              <w:rPr>
                <w:color w:val="auto"/>
                <w:sz w:val="18"/>
                <w:szCs w:val="18"/>
              </w:rPr>
            </w:pPr>
            <w:r>
              <w:rPr>
                <w:rFonts w:hint="eastAsia"/>
                <w:color w:val="auto"/>
                <w:sz w:val="18"/>
                <w:szCs w:val="18"/>
              </w:rPr>
              <w:t>0.032</w:t>
            </w:r>
          </w:p>
        </w:tc>
        <w:tc>
          <w:tcPr>
            <w:tcW w:w="573" w:type="pct"/>
            <w:vAlign w:val="center"/>
          </w:tcPr>
          <w:p>
            <w:pPr>
              <w:ind w:firstLine="0" w:firstLineChars="0"/>
              <w:jc w:val="center"/>
              <w:rPr>
                <w:color w:val="auto"/>
                <w:sz w:val="18"/>
                <w:szCs w:val="18"/>
              </w:rPr>
            </w:pPr>
            <w:r>
              <w:rPr>
                <w:rFonts w:hint="eastAsia"/>
                <w:color w:val="auto"/>
                <w:sz w:val="18"/>
                <w:szCs w:val="18"/>
              </w:rPr>
              <w:t>0.04</w:t>
            </w:r>
          </w:p>
        </w:tc>
        <w:tc>
          <w:tcPr>
            <w:tcW w:w="728" w:type="pct"/>
            <w:vAlign w:val="center"/>
          </w:tcPr>
          <w:p>
            <w:pPr>
              <w:ind w:firstLine="0" w:firstLineChars="0"/>
              <w:jc w:val="center"/>
              <w:rPr>
                <w:color w:val="auto"/>
                <w:sz w:val="18"/>
                <w:szCs w:val="18"/>
              </w:rPr>
            </w:pPr>
            <w:r>
              <w:rPr>
                <w:color w:val="auto"/>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jc w:val="center"/>
        </w:trPr>
        <w:tc>
          <w:tcPr>
            <w:tcW w:w="367" w:type="pct"/>
            <w:vAlign w:val="center"/>
          </w:tcPr>
          <w:p>
            <w:pPr>
              <w:ind w:firstLine="0" w:firstLineChars="0"/>
              <w:jc w:val="center"/>
              <w:rPr>
                <w:color w:val="auto"/>
                <w:sz w:val="18"/>
                <w:szCs w:val="18"/>
              </w:rPr>
            </w:pPr>
            <w:r>
              <w:rPr>
                <w:color w:val="auto"/>
                <w:sz w:val="18"/>
                <w:szCs w:val="18"/>
              </w:rPr>
              <w:t>2</w:t>
            </w:r>
          </w:p>
        </w:tc>
        <w:tc>
          <w:tcPr>
            <w:tcW w:w="434" w:type="pct"/>
            <w:vAlign w:val="center"/>
          </w:tcPr>
          <w:p>
            <w:pPr>
              <w:ind w:firstLine="0" w:firstLineChars="0"/>
              <w:jc w:val="center"/>
              <w:rPr>
                <w:color w:val="auto"/>
                <w:sz w:val="18"/>
                <w:szCs w:val="18"/>
              </w:rPr>
            </w:pPr>
            <w:r>
              <w:rPr>
                <w:color w:val="auto"/>
                <w:sz w:val="18"/>
                <w:szCs w:val="18"/>
              </w:rPr>
              <w:t>DA00</w:t>
            </w:r>
            <w:r>
              <w:rPr>
                <w:rFonts w:hint="eastAsia"/>
                <w:color w:val="auto"/>
                <w:sz w:val="18"/>
                <w:szCs w:val="18"/>
              </w:rPr>
              <w:t>2</w:t>
            </w:r>
          </w:p>
        </w:tc>
        <w:tc>
          <w:tcPr>
            <w:tcW w:w="392" w:type="pct"/>
            <w:vAlign w:val="center"/>
          </w:tcPr>
          <w:p>
            <w:pPr>
              <w:ind w:firstLine="0" w:firstLineChars="0"/>
              <w:jc w:val="center"/>
              <w:rPr>
                <w:color w:val="auto"/>
                <w:sz w:val="18"/>
                <w:szCs w:val="18"/>
              </w:rPr>
            </w:pPr>
            <w:r>
              <w:rPr>
                <w:rFonts w:hint="eastAsia"/>
                <w:color w:val="auto"/>
                <w:sz w:val="18"/>
                <w:szCs w:val="18"/>
              </w:rPr>
              <w:t>15</w:t>
            </w:r>
          </w:p>
        </w:tc>
        <w:tc>
          <w:tcPr>
            <w:tcW w:w="571" w:type="pct"/>
            <w:vAlign w:val="center"/>
          </w:tcPr>
          <w:p>
            <w:pPr>
              <w:ind w:firstLine="0" w:firstLineChars="0"/>
              <w:jc w:val="center"/>
              <w:rPr>
                <w:color w:val="auto"/>
                <w:sz w:val="18"/>
                <w:szCs w:val="18"/>
              </w:rPr>
            </w:pPr>
            <w:r>
              <w:rPr>
                <w:color w:val="auto"/>
                <w:sz w:val="18"/>
                <w:szCs w:val="18"/>
              </w:rPr>
              <w:t>0.</w:t>
            </w:r>
            <w:r>
              <w:rPr>
                <w:rFonts w:hint="eastAsia"/>
                <w:color w:val="auto"/>
                <w:sz w:val="18"/>
                <w:szCs w:val="18"/>
              </w:rPr>
              <w:t>5</w:t>
            </w:r>
          </w:p>
        </w:tc>
        <w:tc>
          <w:tcPr>
            <w:tcW w:w="514" w:type="pct"/>
            <w:vAlign w:val="center"/>
          </w:tcPr>
          <w:p>
            <w:pPr>
              <w:ind w:firstLine="0" w:firstLineChars="0"/>
              <w:jc w:val="center"/>
              <w:rPr>
                <w:color w:val="auto"/>
                <w:sz w:val="18"/>
                <w:szCs w:val="18"/>
              </w:rPr>
            </w:pPr>
            <w:r>
              <w:rPr>
                <w:rFonts w:hint="eastAsia"/>
                <w:color w:val="auto"/>
                <w:sz w:val="18"/>
                <w:szCs w:val="18"/>
              </w:rPr>
              <w:t>80</w:t>
            </w:r>
          </w:p>
        </w:tc>
        <w:tc>
          <w:tcPr>
            <w:tcW w:w="336" w:type="pct"/>
            <w:vAlign w:val="center"/>
          </w:tcPr>
          <w:p>
            <w:pPr>
              <w:ind w:firstLine="0" w:firstLineChars="0"/>
              <w:jc w:val="center"/>
              <w:rPr>
                <w:color w:val="auto"/>
                <w:sz w:val="18"/>
                <w:szCs w:val="18"/>
              </w:rPr>
            </w:pPr>
            <w:r>
              <w:rPr>
                <w:color w:val="auto"/>
                <w:sz w:val="18"/>
                <w:szCs w:val="18"/>
              </w:rPr>
              <w:t>间 断</w:t>
            </w:r>
          </w:p>
        </w:tc>
        <w:tc>
          <w:tcPr>
            <w:tcW w:w="509" w:type="pct"/>
            <w:vAlign w:val="center"/>
          </w:tcPr>
          <w:p>
            <w:pPr>
              <w:ind w:firstLine="0" w:firstLineChars="0"/>
              <w:jc w:val="center"/>
              <w:rPr>
                <w:color w:val="auto"/>
                <w:sz w:val="18"/>
                <w:szCs w:val="18"/>
              </w:rPr>
            </w:pPr>
            <w:r>
              <w:rPr>
                <w:rFonts w:hint="eastAsia"/>
                <w:color w:val="auto"/>
                <w:sz w:val="18"/>
                <w:szCs w:val="18"/>
              </w:rPr>
              <w:t>0.011</w:t>
            </w:r>
          </w:p>
        </w:tc>
        <w:tc>
          <w:tcPr>
            <w:tcW w:w="572" w:type="pct"/>
            <w:vAlign w:val="center"/>
          </w:tcPr>
          <w:p>
            <w:pPr>
              <w:ind w:firstLine="0" w:firstLineChars="0"/>
              <w:jc w:val="center"/>
              <w:rPr>
                <w:color w:val="auto"/>
                <w:sz w:val="18"/>
                <w:szCs w:val="18"/>
              </w:rPr>
            </w:pPr>
            <w:r>
              <w:rPr>
                <w:rFonts w:hint="eastAsia"/>
                <w:color w:val="auto"/>
                <w:sz w:val="18"/>
                <w:szCs w:val="18"/>
              </w:rPr>
              <w:t>0.158</w:t>
            </w:r>
          </w:p>
        </w:tc>
        <w:tc>
          <w:tcPr>
            <w:tcW w:w="573" w:type="pct"/>
            <w:vAlign w:val="center"/>
          </w:tcPr>
          <w:p>
            <w:pPr>
              <w:ind w:firstLine="0" w:firstLineChars="0"/>
              <w:jc w:val="center"/>
              <w:rPr>
                <w:color w:val="auto"/>
                <w:sz w:val="18"/>
                <w:szCs w:val="18"/>
              </w:rPr>
            </w:pPr>
            <w:r>
              <w:rPr>
                <w:rFonts w:hint="eastAsia"/>
                <w:color w:val="auto"/>
                <w:sz w:val="18"/>
                <w:szCs w:val="18"/>
              </w:rPr>
              <w:t>0.15</w:t>
            </w:r>
          </w:p>
        </w:tc>
        <w:tc>
          <w:tcPr>
            <w:tcW w:w="728" w:type="pct"/>
            <w:vAlign w:val="center"/>
          </w:tcPr>
          <w:p>
            <w:pPr>
              <w:ind w:firstLine="0" w:firstLineChars="0"/>
              <w:jc w:val="center"/>
              <w:rPr>
                <w:color w:val="auto"/>
                <w:sz w:val="18"/>
                <w:szCs w:val="18"/>
              </w:rPr>
            </w:pPr>
            <w:r>
              <w:rPr>
                <w:color w:val="auto"/>
                <w:sz w:val="18"/>
                <w:szCs w:val="18"/>
              </w:rPr>
              <w:t>0.0000</w:t>
            </w:r>
            <w:r>
              <w:rPr>
                <w:rFonts w:hint="eastAsia"/>
                <w:color w:val="auto"/>
                <w:sz w:val="18"/>
                <w:szCs w:val="18"/>
              </w:rPr>
              <w:t>07</w:t>
            </w:r>
          </w:p>
        </w:tc>
      </w:tr>
    </w:tbl>
    <w:p>
      <w:pPr>
        <w:ind w:firstLine="480"/>
        <w:rPr>
          <w:color w:val="auto"/>
        </w:rPr>
      </w:pPr>
      <w:r>
        <w:rPr>
          <w:color w:val="auto"/>
        </w:rPr>
        <w:t>项目无组织废气污染源数据见下表。</w:t>
      </w:r>
    </w:p>
    <w:p>
      <w:pPr>
        <w:ind w:firstLine="482"/>
        <w:jc w:val="center"/>
        <w:rPr>
          <w:b/>
          <w:bCs/>
          <w:color w:val="auto"/>
        </w:rPr>
      </w:pPr>
      <w:r>
        <w:rPr>
          <w:b/>
          <w:bCs/>
          <w:color w:val="auto"/>
        </w:rPr>
        <mc:AlternateContent>
          <mc:Choice Requires="wps">
            <w:drawing>
              <wp:anchor distT="0" distB="0" distL="114300" distR="114300" simplePos="0" relativeHeight="251662336" behindDoc="1" locked="0" layoutInCell="1" allowOverlap="1">
                <wp:simplePos x="0" y="0"/>
                <wp:positionH relativeFrom="column">
                  <wp:posOffset>2858770</wp:posOffset>
                </wp:positionH>
                <wp:positionV relativeFrom="paragraph">
                  <wp:posOffset>941070</wp:posOffset>
                </wp:positionV>
                <wp:extent cx="62865" cy="200025"/>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62865" cy="200025"/>
                        </a:xfrm>
                        <a:prstGeom prst="rect">
                          <a:avLst/>
                        </a:prstGeom>
                        <a:noFill/>
                        <a:ln>
                          <a:noFill/>
                        </a:ln>
                      </wps:spPr>
                      <wps:txbx>
                        <w:txbxContent>
                          <w:p>
                            <w:pPr>
                              <w:spacing w:before="20" w:line="274" w:lineRule="exact"/>
                              <w:ind w:left="20" w:firstLine="408"/>
                              <w:rPr>
                                <w:rFonts w:eastAsia="Times New Roman"/>
                                <w:sz w:val="20"/>
                                <w:szCs w:val="20"/>
                              </w:rPr>
                            </w:pPr>
                            <w:r>
                              <w:rPr>
                                <w:rFonts w:eastAsia="Times New Roman"/>
                                <w:spacing w:val="2"/>
                                <w:position w:val="1"/>
                                <w:sz w:val="20"/>
                                <w:szCs w:val="20"/>
                              </w:rPr>
                              <w:t>/</w:t>
                            </w:r>
                          </w:p>
                        </w:txbxContent>
                      </wps:txbx>
                      <wps:bodyPr lIns="0" tIns="0" rIns="0" bIns="0" upright="1"/>
                    </wps:wsp>
                  </a:graphicData>
                </a:graphic>
              </wp:anchor>
            </w:drawing>
          </mc:Choice>
          <mc:Fallback>
            <w:pict>
              <v:shape id="_x0000_s1026" o:spid="_x0000_s1026" o:spt="202" type="#_x0000_t202" style="position:absolute;left:0pt;margin-left:225.1pt;margin-top:74.1pt;height:15.75pt;width:4.95pt;z-index:-251654144;mso-width-relative:page;mso-height-relative:page;" filled="f" stroked="f" coordsize="21600,21600" o:gfxdata="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WAAAAZHJzL1BLAQIUABQAAAAIAIdO4kBYFeQt2QAAAAsBAAAPAAAAAAAAAAEAIAAAADgA&#10;AABkcnMvZG93bnJldi54bWxQSwECFAAUAAAACACHTuJAH1/dw7kBAAByAwAADgAAAAAAAAABACAA&#10;AAA+AQAAZHJzL2Uyb0RvYy54bWxQSwUGAAAAAAYABgBZAQAAaQUAAAAA&#10;">
                <v:fill on="f" focussize="0,0"/>
                <v:stroke on="f"/>
                <v:imagedata o:title=""/>
                <o:lock v:ext="edit" aspectratio="f"/>
                <v:textbox inset="0mm,0mm,0mm,0mm">
                  <w:txbxContent>
                    <w:p>
                      <w:pPr>
                        <w:spacing w:before="20" w:line="274" w:lineRule="exact"/>
                        <w:ind w:left="20" w:firstLine="408"/>
                        <w:rPr>
                          <w:rFonts w:eastAsia="Times New Roman"/>
                          <w:sz w:val="20"/>
                          <w:szCs w:val="20"/>
                        </w:rPr>
                      </w:pPr>
                      <w:r>
                        <w:rPr>
                          <w:rFonts w:eastAsia="Times New Roman"/>
                          <w:spacing w:val="2"/>
                          <w:position w:val="1"/>
                          <w:sz w:val="20"/>
                          <w:szCs w:val="20"/>
                        </w:rPr>
                        <w:t>/</w:t>
                      </w:r>
                    </w:p>
                  </w:txbxContent>
                </v:textbox>
              </v:shape>
            </w:pict>
          </mc:Fallback>
        </mc:AlternateContent>
      </w:r>
      <w:r>
        <w:rPr>
          <w:b/>
          <w:bCs/>
          <w:color w:val="auto"/>
        </w:rPr>
        <w:t>表 5-5    项目无组织废气污染源参数一览表</w:t>
      </w:r>
    </w:p>
    <w:tbl>
      <w:tblPr>
        <w:tblStyle w:val="61"/>
        <w:tblW w:w="499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39"/>
        <w:gridCol w:w="1039"/>
        <w:gridCol w:w="1049"/>
        <w:gridCol w:w="1049"/>
        <w:gridCol w:w="1304"/>
        <w:gridCol w:w="1147"/>
        <w:gridCol w:w="1040"/>
        <w:gridCol w:w="10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2" w:hRule="atLeast"/>
        </w:trPr>
        <w:tc>
          <w:tcPr>
            <w:tcW w:w="384" w:type="pct"/>
            <w:tcBorders>
              <w:bottom w:val="single" w:color="000000" w:sz="2" w:space="0"/>
            </w:tcBorders>
            <w:vAlign w:val="center"/>
          </w:tcPr>
          <w:p>
            <w:pPr>
              <w:ind w:firstLine="0" w:firstLineChars="0"/>
              <w:jc w:val="center"/>
              <w:rPr>
                <w:color w:val="auto"/>
                <w:sz w:val="21"/>
                <w:szCs w:val="21"/>
              </w:rPr>
            </w:pPr>
            <w:r>
              <w:rPr>
                <w:color w:val="auto"/>
                <w:sz w:val="21"/>
                <w:szCs w:val="21"/>
              </w:rPr>
              <w:t>编 号</w:t>
            </w:r>
          </w:p>
        </w:tc>
        <w:tc>
          <w:tcPr>
            <w:tcW w:w="625" w:type="pct"/>
            <w:tcBorders>
              <w:bottom w:val="single" w:color="000000" w:sz="2" w:space="0"/>
            </w:tcBorders>
            <w:vAlign w:val="center"/>
          </w:tcPr>
          <w:p>
            <w:pPr>
              <w:ind w:firstLine="0" w:firstLineChars="0"/>
              <w:jc w:val="center"/>
              <w:rPr>
                <w:color w:val="auto"/>
                <w:sz w:val="21"/>
                <w:szCs w:val="21"/>
              </w:rPr>
            </w:pPr>
            <w:r>
              <w:rPr>
                <w:color w:val="auto"/>
                <w:sz w:val="21"/>
                <w:szCs w:val="21"/>
              </w:rPr>
              <w:t>名称</w:t>
            </w:r>
          </w:p>
        </w:tc>
        <w:tc>
          <w:tcPr>
            <w:tcW w:w="631" w:type="pct"/>
            <w:tcBorders>
              <w:bottom w:val="single" w:color="000000" w:sz="2" w:space="0"/>
            </w:tcBorders>
            <w:vAlign w:val="center"/>
          </w:tcPr>
          <w:p>
            <w:pPr>
              <w:ind w:firstLine="0" w:firstLineChars="0"/>
              <w:jc w:val="center"/>
              <w:rPr>
                <w:color w:val="auto"/>
                <w:sz w:val="21"/>
                <w:szCs w:val="21"/>
              </w:rPr>
            </w:pPr>
            <w:r>
              <w:rPr>
                <w:color w:val="auto"/>
                <w:sz w:val="21"/>
                <w:szCs w:val="21"/>
              </w:rPr>
              <w:t xml:space="preserve">面源长度 </w:t>
            </w:r>
            <w:r>
              <w:rPr>
                <w:color w:val="auto"/>
                <w:sz w:val="21"/>
                <w:szCs w:val="21"/>
              </w:rPr>
              <w:tab/>
            </w:r>
            <w:r>
              <w:rPr>
                <w:color w:val="auto"/>
                <w:sz w:val="21"/>
                <w:szCs w:val="21"/>
              </w:rPr>
              <w:t>/m</w:t>
            </w:r>
          </w:p>
        </w:tc>
        <w:tc>
          <w:tcPr>
            <w:tcW w:w="631" w:type="pct"/>
            <w:tcBorders>
              <w:bottom w:val="single" w:color="000000" w:sz="2" w:space="0"/>
            </w:tcBorders>
            <w:vAlign w:val="center"/>
          </w:tcPr>
          <w:p>
            <w:pPr>
              <w:ind w:firstLine="0" w:firstLineChars="0"/>
              <w:jc w:val="center"/>
              <w:rPr>
                <w:color w:val="auto"/>
                <w:sz w:val="21"/>
                <w:szCs w:val="21"/>
              </w:rPr>
            </w:pPr>
            <w:r>
              <w:rPr>
                <w:color w:val="auto"/>
                <w:sz w:val="21"/>
                <w:szCs w:val="21"/>
              </w:rPr>
              <w:t xml:space="preserve">面源宽度 </w:t>
            </w:r>
            <w:r>
              <w:rPr>
                <w:color w:val="auto"/>
                <w:sz w:val="21"/>
                <w:szCs w:val="21"/>
              </w:rPr>
              <w:tab/>
            </w:r>
            <w:r>
              <w:rPr>
                <w:color w:val="auto"/>
                <w:sz w:val="21"/>
                <w:szCs w:val="21"/>
              </w:rPr>
              <w:t>/m</w:t>
            </w:r>
          </w:p>
        </w:tc>
        <w:tc>
          <w:tcPr>
            <w:tcW w:w="784" w:type="pct"/>
            <w:tcBorders>
              <w:bottom w:val="single" w:color="000000" w:sz="2" w:space="0"/>
            </w:tcBorders>
            <w:vAlign w:val="center"/>
          </w:tcPr>
          <w:p>
            <w:pPr>
              <w:ind w:firstLine="0" w:firstLineChars="0"/>
              <w:jc w:val="center"/>
              <w:rPr>
                <w:color w:val="auto"/>
                <w:sz w:val="21"/>
                <w:szCs w:val="21"/>
              </w:rPr>
            </w:pPr>
            <w:r>
              <w:rPr>
                <w:color w:val="auto"/>
                <w:sz w:val="21"/>
                <w:szCs w:val="21"/>
              </w:rPr>
              <w:t>面源有效排放 高度</w:t>
            </w:r>
          </w:p>
        </w:tc>
        <w:tc>
          <w:tcPr>
            <w:tcW w:w="690" w:type="pct"/>
            <w:tcBorders>
              <w:bottom w:val="single" w:color="000000" w:sz="2" w:space="0"/>
            </w:tcBorders>
            <w:vAlign w:val="center"/>
          </w:tcPr>
          <w:p>
            <w:pPr>
              <w:ind w:firstLine="0" w:firstLineChars="0"/>
              <w:jc w:val="center"/>
              <w:rPr>
                <w:color w:val="auto"/>
                <w:sz w:val="21"/>
                <w:szCs w:val="21"/>
              </w:rPr>
            </w:pPr>
            <w:r>
              <w:rPr>
                <w:color w:val="auto"/>
                <w:sz w:val="21"/>
                <w:szCs w:val="21"/>
              </w:rPr>
              <w:t>年排放小时数/h</w:t>
            </w:r>
          </w:p>
        </w:tc>
        <w:tc>
          <w:tcPr>
            <w:tcW w:w="625" w:type="pct"/>
            <w:tcBorders>
              <w:bottom w:val="single" w:color="000000" w:sz="2" w:space="0"/>
            </w:tcBorders>
            <w:vAlign w:val="center"/>
          </w:tcPr>
          <w:p>
            <w:pPr>
              <w:ind w:firstLine="0" w:firstLineChars="0"/>
              <w:jc w:val="center"/>
              <w:rPr>
                <w:color w:val="auto"/>
                <w:sz w:val="21"/>
                <w:szCs w:val="21"/>
              </w:rPr>
            </w:pPr>
            <w:r>
              <w:rPr>
                <w:color w:val="auto"/>
                <w:sz w:val="21"/>
                <w:szCs w:val="21"/>
              </w:rPr>
              <w:t>排放工况</w:t>
            </w:r>
          </w:p>
        </w:tc>
        <w:tc>
          <w:tcPr>
            <w:tcW w:w="625" w:type="pct"/>
            <w:tcBorders>
              <w:bottom w:val="single" w:color="000000" w:sz="2" w:space="0"/>
            </w:tcBorders>
            <w:vAlign w:val="center"/>
          </w:tcPr>
          <w:p>
            <w:pPr>
              <w:ind w:firstLine="0" w:firstLineChars="0"/>
              <w:jc w:val="center"/>
              <w:rPr>
                <w:color w:val="auto"/>
                <w:sz w:val="21"/>
                <w:szCs w:val="21"/>
              </w:rPr>
            </w:pPr>
            <w:r>
              <w:rPr>
                <w:color w:val="auto"/>
                <w:sz w:val="21"/>
                <w:szCs w:val="21"/>
              </w:rPr>
              <w:t>污染物排放速率（kg/h）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384" w:type="pct"/>
            <w:tcBorders>
              <w:top w:val="single" w:color="000000" w:sz="2" w:space="0"/>
            </w:tcBorders>
            <w:vAlign w:val="center"/>
          </w:tcPr>
          <w:p>
            <w:pPr>
              <w:ind w:firstLine="0" w:firstLineChars="0"/>
              <w:jc w:val="center"/>
              <w:rPr>
                <w:color w:val="auto"/>
                <w:sz w:val="21"/>
                <w:szCs w:val="21"/>
              </w:rPr>
            </w:pPr>
            <w:r>
              <w:rPr>
                <w:color w:val="auto"/>
                <w:sz w:val="21"/>
                <w:szCs w:val="21"/>
              </w:rPr>
              <w:t>1</w:t>
            </w:r>
          </w:p>
        </w:tc>
        <w:tc>
          <w:tcPr>
            <w:tcW w:w="625" w:type="pct"/>
            <w:tcBorders>
              <w:top w:val="single" w:color="000000" w:sz="2" w:space="0"/>
            </w:tcBorders>
            <w:vAlign w:val="center"/>
          </w:tcPr>
          <w:p>
            <w:pPr>
              <w:ind w:firstLine="0" w:firstLineChars="0"/>
              <w:jc w:val="center"/>
              <w:rPr>
                <w:color w:val="auto"/>
                <w:sz w:val="21"/>
                <w:szCs w:val="21"/>
              </w:rPr>
            </w:pPr>
            <w:r>
              <w:rPr>
                <w:color w:val="auto"/>
                <w:sz w:val="21"/>
                <w:szCs w:val="21"/>
              </w:rPr>
              <w:t>厂区</w:t>
            </w:r>
          </w:p>
        </w:tc>
        <w:tc>
          <w:tcPr>
            <w:tcW w:w="631" w:type="pct"/>
            <w:tcBorders>
              <w:top w:val="single" w:color="000000" w:sz="2" w:space="0"/>
            </w:tcBorders>
            <w:vAlign w:val="center"/>
          </w:tcPr>
          <w:p>
            <w:pPr>
              <w:ind w:firstLine="0" w:firstLineChars="0"/>
              <w:jc w:val="center"/>
              <w:rPr>
                <w:color w:val="auto"/>
                <w:sz w:val="21"/>
                <w:szCs w:val="21"/>
              </w:rPr>
            </w:pPr>
            <w:r>
              <w:rPr>
                <w:rFonts w:hint="eastAsia"/>
                <w:color w:val="auto"/>
                <w:sz w:val="21"/>
                <w:szCs w:val="21"/>
              </w:rPr>
              <w:t>101.1</w:t>
            </w:r>
          </w:p>
        </w:tc>
        <w:tc>
          <w:tcPr>
            <w:tcW w:w="631" w:type="pct"/>
            <w:tcBorders>
              <w:top w:val="single" w:color="000000" w:sz="2" w:space="0"/>
            </w:tcBorders>
            <w:vAlign w:val="center"/>
          </w:tcPr>
          <w:p>
            <w:pPr>
              <w:ind w:firstLine="0" w:firstLineChars="0"/>
              <w:jc w:val="center"/>
              <w:rPr>
                <w:color w:val="auto"/>
                <w:sz w:val="21"/>
                <w:szCs w:val="21"/>
              </w:rPr>
            </w:pPr>
            <w:r>
              <w:rPr>
                <w:rFonts w:hint="eastAsia"/>
                <w:color w:val="auto"/>
                <w:sz w:val="21"/>
                <w:szCs w:val="21"/>
              </w:rPr>
              <w:t>74.4</w:t>
            </w:r>
          </w:p>
        </w:tc>
        <w:tc>
          <w:tcPr>
            <w:tcW w:w="784" w:type="pct"/>
            <w:tcBorders>
              <w:top w:val="single" w:color="000000" w:sz="2" w:space="0"/>
            </w:tcBorders>
            <w:vAlign w:val="center"/>
          </w:tcPr>
          <w:p>
            <w:pPr>
              <w:ind w:firstLine="0" w:firstLineChars="0"/>
              <w:jc w:val="center"/>
              <w:rPr>
                <w:color w:val="auto"/>
                <w:sz w:val="21"/>
                <w:szCs w:val="21"/>
              </w:rPr>
            </w:pPr>
            <w:r>
              <w:rPr>
                <w:rFonts w:hint="eastAsia"/>
                <w:color w:val="auto"/>
                <w:sz w:val="21"/>
                <w:szCs w:val="21"/>
              </w:rPr>
              <w:t>16.65</w:t>
            </w:r>
          </w:p>
        </w:tc>
        <w:tc>
          <w:tcPr>
            <w:tcW w:w="690" w:type="pct"/>
            <w:tcBorders>
              <w:top w:val="single" w:color="000000" w:sz="2" w:space="0"/>
            </w:tcBorders>
            <w:vAlign w:val="center"/>
          </w:tcPr>
          <w:p>
            <w:pPr>
              <w:ind w:firstLine="0" w:firstLineChars="0"/>
              <w:jc w:val="center"/>
              <w:rPr>
                <w:color w:val="auto"/>
                <w:sz w:val="21"/>
                <w:szCs w:val="21"/>
              </w:rPr>
            </w:pPr>
            <w:r>
              <w:rPr>
                <w:rFonts w:hint="eastAsia"/>
                <w:color w:val="auto"/>
                <w:sz w:val="21"/>
                <w:szCs w:val="21"/>
              </w:rPr>
              <w:t>2880</w:t>
            </w:r>
          </w:p>
        </w:tc>
        <w:tc>
          <w:tcPr>
            <w:tcW w:w="625" w:type="pct"/>
            <w:tcBorders>
              <w:top w:val="single" w:color="000000" w:sz="2" w:space="0"/>
            </w:tcBorders>
            <w:vAlign w:val="center"/>
          </w:tcPr>
          <w:p>
            <w:pPr>
              <w:ind w:firstLine="0" w:firstLineChars="0"/>
              <w:jc w:val="center"/>
              <w:rPr>
                <w:color w:val="auto"/>
                <w:sz w:val="21"/>
                <w:szCs w:val="21"/>
              </w:rPr>
            </w:pPr>
            <w:r>
              <w:rPr>
                <w:color w:val="auto"/>
                <w:sz w:val="21"/>
                <w:szCs w:val="21"/>
              </w:rPr>
              <w:t>间断</w:t>
            </w:r>
          </w:p>
        </w:tc>
        <w:tc>
          <w:tcPr>
            <w:tcW w:w="625" w:type="pct"/>
            <w:tcBorders>
              <w:top w:val="single" w:color="000000" w:sz="2" w:space="0"/>
            </w:tcBorders>
            <w:vAlign w:val="center"/>
          </w:tcPr>
          <w:p>
            <w:pPr>
              <w:ind w:firstLine="0" w:firstLineChars="0"/>
              <w:jc w:val="center"/>
              <w:rPr>
                <w:color w:val="auto"/>
                <w:sz w:val="21"/>
                <w:szCs w:val="21"/>
              </w:rPr>
            </w:pPr>
            <w:r>
              <w:rPr>
                <w:rFonts w:hint="eastAsia"/>
                <w:color w:val="auto"/>
                <w:sz w:val="21"/>
                <w:szCs w:val="21"/>
              </w:rPr>
              <w:t>0.0137</w:t>
            </w:r>
          </w:p>
        </w:tc>
      </w:tr>
    </w:tbl>
    <w:p>
      <w:pPr>
        <w:ind w:firstLine="480"/>
        <w:rPr>
          <w:color w:val="auto"/>
        </w:rPr>
      </w:pPr>
    </w:p>
    <w:p>
      <w:pPr>
        <w:pStyle w:val="5"/>
        <w:tabs>
          <w:tab w:val="left" w:pos="3949"/>
        </w:tabs>
        <w:ind w:firstLine="281"/>
        <w:rPr>
          <w:color w:val="auto"/>
        </w:rPr>
      </w:pPr>
      <w:r>
        <w:rPr>
          <w:rFonts w:hint="eastAsia"/>
          <w:color w:val="auto"/>
        </w:rPr>
        <w:t>5.5评价等级确定结果</w:t>
      </w:r>
    </w:p>
    <w:p>
      <w:pPr>
        <w:spacing w:before="179" w:line="222" w:lineRule="auto"/>
        <w:ind w:firstLine="0" w:firstLineChars="0"/>
        <w:jc w:val="center"/>
        <w:rPr>
          <w:rFonts w:hint="eastAsia" w:ascii="宋体" w:hAnsi="宋体" w:cs="宋体"/>
          <w:color w:val="auto"/>
        </w:rPr>
      </w:pPr>
      <w:r>
        <w:rPr>
          <w:rFonts w:ascii="宋体" w:hAnsi="宋体" w:cs="宋体"/>
          <w:b/>
          <w:bCs/>
          <w:color w:val="auto"/>
          <w:spacing w:val="6"/>
        </w:rPr>
        <w:t>表</w:t>
      </w:r>
      <w:r>
        <w:rPr>
          <w:rFonts w:ascii="宋体" w:hAnsi="宋体" w:cs="宋体"/>
          <w:color w:val="auto"/>
          <w:spacing w:val="-29"/>
        </w:rPr>
        <w:t xml:space="preserve"> </w:t>
      </w:r>
      <w:r>
        <w:rPr>
          <w:rFonts w:eastAsia="Times New Roman"/>
          <w:b/>
          <w:bCs/>
          <w:color w:val="auto"/>
          <w:spacing w:val="6"/>
        </w:rPr>
        <w:t xml:space="preserve">5-6    </w:t>
      </w:r>
      <w:r>
        <w:rPr>
          <w:rFonts w:ascii="宋体" w:hAnsi="宋体" w:cs="宋体"/>
          <w:b/>
          <w:bCs/>
          <w:color w:val="auto"/>
          <w:spacing w:val="6"/>
        </w:rPr>
        <w:t>污染物下风向最大质量浓度及占标率</w:t>
      </w:r>
    </w:p>
    <w:tbl>
      <w:tblPr>
        <w:tblStyle w:val="61"/>
        <w:tblW w:w="883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5"/>
        <w:gridCol w:w="1558"/>
        <w:gridCol w:w="1585"/>
        <w:gridCol w:w="1471"/>
        <w:gridCol w:w="1556"/>
        <w:gridCol w:w="13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jc w:val="center"/>
        </w:trPr>
        <w:tc>
          <w:tcPr>
            <w:tcW w:w="1275" w:type="dxa"/>
            <w:vAlign w:val="center"/>
          </w:tcPr>
          <w:p>
            <w:pPr>
              <w:spacing w:line="242" w:lineRule="auto"/>
              <w:ind w:firstLine="0" w:firstLineChars="0"/>
              <w:rPr>
                <w:color w:val="auto"/>
                <w:sz w:val="21"/>
                <w:szCs w:val="21"/>
              </w:rPr>
            </w:pPr>
          </w:p>
          <w:p>
            <w:pPr>
              <w:pStyle w:val="68"/>
              <w:spacing w:before="65" w:line="229" w:lineRule="auto"/>
              <w:ind w:left="225" w:firstLine="0" w:firstLineChars="0"/>
              <w:rPr>
                <w:rFonts w:ascii="Times New Roman" w:hAnsi="Times New Roman" w:cs="Times New Roman"/>
                <w:color w:val="auto"/>
                <w:sz w:val="21"/>
                <w:szCs w:val="21"/>
              </w:rPr>
            </w:pPr>
            <w:r>
              <w:rPr>
                <w:rFonts w:ascii="Times New Roman" w:hAnsi="Times New Roman" w:cs="Times New Roman"/>
                <w:color w:val="auto"/>
                <w:spacing w:val="6"/>
                <w:sz w:val="21"/>
                <w:szCs w:val="21"/>
              </w:rPr>
              <w:t>项目名称</w:t>
            </w:r>
          </w:p>
        </w:tc>
        <w:tc>
          <w:tcPr>
            <w:tcW w:w="1558" w:type="dxa"/>
            <w:vAlign w:val="center"/>
          </w:tcPr>
          <w:p>
            <w:pPr>
              <w:spacing w:line="242" w:lineRule="auto"/>
              <w:ind w:firstLine="0" w:firstLineChars="0"/>
              <w:rPr>
                <w:color w:val="auto"/>
                <w:sz w:val="21"/>
                <w:szCs w:val="21"/>
              </w:rPr>
            </w:pPr>
          </w:p>
          <w:p>
            <w:pPr>
              <w:pStyle w:val="68"/>
              <w:spacing w:before="65" w:line="229" w:lineRule="auto"/>
              <w:ind w:left="470" w:firstLine="0" w:firstLineChars="0"/>
              <w:rPr>
                <w:rFonts w:ascii="Times New Roman" w:hAnsi="Times New Roman" w:cs="Times New Roman"/>
                <w:color w:val="auto"/>
                <w:sz w:val="21"/>
                <w:szCs w:val="21"/>
              </w:rPr>
            </w:pPr>
            <w:r>
              <w:rPr>
                <w:rFonts w:ascii="Times New Roman" w:hAnsi="Times New Roman" w:cs="Times New Roman"/>
                <w:color w:val="auto"/>
                <w:spacing w:val="6"/>
                <w:sz w:val="21"/>
                <w:szCs w:val="21"/>
              </w:rPr>
              <w:t>污染物</w:t>
            </w:r>
          </w:p>
        </w:tc>
        <w:tc>
          <w:tcPr>
            <w:tcW w:w="1585" w:type="dxa"/>
            <w:vAlign w:val="center"/>
          </w:tcPr>
          <w:p>
            <w:pPr>
              <w:pStyle w:val="68"/>
              <w:spacing w:before="37" w:line="236" w:lineRule="auto"/>
              <w:ind w:right="162" w:firstLine="0" w:firstLineChars="0"/>
              <w:rPr>
                <w:rFonts w:ascii="Times New Roman" w:hAnsi="Times New Roman" w:cs="Times New Roman"/>
                <w:color w:val="auto"/>
                <w:sz w:val="21"/>
                <w:szCs w:val="21"/>
                <w:lang w:eastAsia="zh-CN"/>
              </w:rPr>
            </w:pPr>
            <w:r>
              <w:rPr>
                <w:rFonts w:ascii="Times New Roman" w:hAnsi="Times New Roman" w:cs="Times New Roman"/>
                <w:color w:val="auto"/>
                <w:spacing w:val="7"/>
                <w:sz w:val="21"/>
                <w:szCs w:val="21"/>
                <w:lang w:eastAsia="zh-CN"/>
              </w:rPr>
              <w:t>下风向最大落</w:t>
            </w:r>
            <w:r>
              <w:rPr>
                <w:rFonts w:ascii="Times New Roman" w:hAnsi="Times New Roman" w:cs="Times New Roman"/>
                <w:color w:val="auto"/>
                <w:sz w:val="21"/>
                <w:szCs w:val="21"/>
                <w:lang w:eastAsia="zh-CN"/>
              </w:rPr>
              <w:t xml:space="preserve"> </w:t>
            </w:r>
            <w:r>
              <w:rPr>
                <w:rFonts w:ascii="Times New Roman" w:hAnsi="Times New Roman" w:cs="Times New Roman"/>
                <w:color w:val="auto"/>
                <w:spacing w:val="6"/>
                <w:sz w:val="21"/>
                <w:szCs w:val="21"/>
                <w:lang w:eastAsia="zh-CN"/>
              </w:rPr>
              <w:t>地浓度</w:t>
            </w:r>
            <w:r>
              <w:rPr>
                <w:rFonts w:ascii="Times New Roman" w:hAnsi="Times New Roman" w:cs="Times New Roman"/>
                <w:color w:val="auto"/>
                <w:spacing w:val="3"/>
                <w:position w:val="2"/>
                <w:sz w:val="21"/>
                <w:szCs w:val="21"/>
                <w:lang w:eastAsia="zh-CN"/>
              </w:rPr>
              <w:t>（</w:t>
            </w:r>
            <w:r>
              <w:rPr>
                <w:rFonts w:ascii="Times New Roman" w:hAnsi="Times New Roman" w:eastAsia="Times New Roman" w:cs="Times New Roman"/>
                <w:color w:val="auto"/>
                <w:position w:val="2"/>
                <w:sz w:val="21"/>
                <w:szCs w:val="21"/>
                <w:lang w:eastAsia="zh-CN"/>
              </w:rPr>
              <w:t>mg</w:t>
            </w:r>
            <w:r>
              <w:rPr>
                <w:rFonts w:ascii="Times New Roman" w:hAnsi="Times New Roman" w:eastAsia="Times New Roman" w:cs="Times New Roman"/>
                <w:color w:val="auto"/>
                <w:spacing w:val="3"/>
                <w:position w:val="2"/>
                <w:sz w:val="21"/>
                <w:szCs w:val="21"/>
                <w:lang w:eastAsia="zh-CN"/>
              </w:rPr>
              <w:t>/m³</w:t>
            </w:r>
            <w:r>
              <w:rPr>
                <w:rFonts w:ascii="Times New Roman" w:hAnsi="Times New Roman" w:cs="Times New Roman"/>
                <w:color w:val="auto"/>
                <w:spacing w:val="3"/>
                <w:position w:val="2"/>
                <w:sz w:val="21"/>
                <w:szCs w:val="21"/>
                <w:lang w:eastAsia="zh-CN"/>
              </w:rPr>
              <w:t>)</w:t>
            </w:r>
          </w:p>
        </w:tc>
        <w:tc>
          <w:tcPr>
            <w:tcW w:w="1471" w:type="dxa"/>
            <w:vAlign w:val="center"/>
          </w:tcPr>
          <w:p>
            <w:pPr>
              <w:pStyle w:val="68"/>
              <w:spacing w:before="277" w:line="274" w:lineRule="exact"/>
              <w:ind w:left="131" w:firstLine="0" w:firstLineChars="0"/>
              <w:rPr>
                <w:rFonts w:ascii="Times New Roman" w:hAnsi="Times New Roman" w:eastAsia="Times New Roman" w:cs="Times New Roman"/>
                <w:color w:val="auto"/>
                <w:sz w:val="21"/>
                <w:szCs w:val="21"/>
              </w:rPr>
            </w:pPr>
            <w:r>
              <w:rPr>
                <w:rFonts w:ascii="Times New Roman" w:hAnsi="Times New Roman" w:cs="Times New Roman"/>
                <w:color w:val="auto"/>
                <w:spacing w:val="8"/>
                <w:position w:val="1"/>
                <w:sz w:val="21"/>
                <w:szCs w:val="21"/>
              </w:rPr>
              <w:t>最大占标率</w:t>
            </w:r>
            <w:r>
              <w:rPr>
                <w:rFonts w:ascii="Times New Roman" w:hAnsi="Times New Roman" w:eastAsia="Times New Roman" w:cs="Times New Roman"/>
                <w:color w:val="auto"/>
                <w:spacing w:val="8"/>
                <w:position w:val="1"/>
                <w:sz w:val="21"/>
                <w:szCs w:val="21"/>
              </w:rPr>
              <w:t>%</w:t>
            </w:r>
          </w:p>
        </w:tc>
        <w:tc>
          <w:tcPr>
            <w:tcW w:w="1556" w:type="dxa"/>
            <w:vAlign w:val="center"/>
          </w:tcPr>
          <w:p>
            <w:pPr>
              <w:pStyle w:val="68"/>
              <w:spacing w:before="171" w:line="241" w:lineRule="auto"/>
              <w:ind w:left="135" w:right="145" w:firstLine="0" w:firstLineChars="0"/>
              <w:rPr>
                <w:rFonts w:ascii="Times New Roman" w:hAnsi="Times New Roman" w:cs="Times New Roman"/>
                <w:color w:val="auto"/>
                <w:sz w:val="21"/>
                <w:szCs w:val="21"/>
                <w:lang w:eastAsia="zh-CN"/>
              </w:rPr>
            </w:pPr>
            <w:r>
              <w:rPr>
                <w:rFonts w:ascii="Times New Roman" w:hAnsi="Times New Roman" w:cs="Times New Roman"/>
                <w:color w:val="auto"/>
                <w:spacing w:val="7"/>
                <w:sz w:val="21"/>
                <w:szCs w:val="21"/>
                <w:lang w:eastAsia="zh-CN"/>
              </w:rPr>
              <w:t>最大落地浓</w:t>
            </w:r>
            <w:r>
              <w:rPr>
                <w:rFonts w:ascii="Times New Roman" w:hAnsi="Times New Roman" w:cs="Times New Roman"/>
                <w:color w:val="auto"/>
                <w:spacing w:val="2"/>
                <w:sz w:val="21"/>
                <w:szCs w:val="21"/>
                <w:lang w:eastAsia="zh-CN"/>
              </w:rPr>
              <w:t xml:space="preserve"> </w:t>
            </w:r>
            <w:r>
              <w:rPr>
                <w:rFonts w:ascii="Times New Roman" w:hAnsi="Times New Roman" w:cs="Times New Roman"/>
                <w:color w:val="auto"/>
                <w:spacing w:val="5"/>
                <w:sz w:val="21"/>
                <w:szCs w:val="21"/>
                <w:lang w:eastAsia="zh-CN"/>
              </w:rPr>
              <w:t>度距离（</w:t>
            </w:r>
            <w:r>
              <w:rPr>
                <w:rFonts w:ascii="Times New Roman" w:hAnsi="Times New Roman" w:eastAsia="Times New Roman" w:cs="Times New Roman"/>
                <w:color w:val="auto"/>
                <w:spacing w:val="5"/>
                <w:sz w:val="21"/>
                <w:szCs w:val="21"/>
                <w:lang w:eastAsia="zh-CN"/>
              </w:rPr>
              <w:t>m</w:t>
            </w:r>
            <w:r>
              <w:rPr>
                <w:rFonts w:ascii="Times New Roman" w:hAnsi="Times New Roman" w:cs="Times New Roman"/>
                <w:color w:val="auto"/>
                <w:spacing w:val="5"/>
                <w:sz w:val="21"/>
                <w:szCs w:val="21"/>
                <w:lang w:eastAsia="zh-CN"/>
              </w:rPr>
              <w:t>）</w:t>
            </w:r>
          </w:p>
        </w:tc>
        <w:tc>
          <w:tcPr>
            <w:tcW w:w="1393" w:type="dxa"/>
            <w:vAlign w:val="center"/>
          </w:tcPr>
          <w:p>
            <w:pPr>
              <w:spacing w:line="241" w:lineRule="auto"/>
              <w:ind w:firstLine="0" w:firstLineChars="0"/>
              <w:rPr>
                <w:color w:val="auto"/>
                <w:sz w:val="21"/>
                <w:szCs w:val="21"/>
              </w:rPr>
            </w:pPr>
          </w:p>
          <w:p>
            <w:pPr>
              <w:pStyle w:val="68"/>
              <w:spacing w:before="65" w:line="227"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pacing w:val="7"/>
                <w:sz w:val="21"/>
                <w:szCs w:val="21"/>
              </w:rPr>
              <w:t>评价等级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1275" w:type="dxa"/>
            <w:vMerge w:val="restart"/>
            <w:vAlign w:val="center"/>
          </w:tcPr>
          <w:p>
            <w:pPr>
              <w:spacing w:before="58" w:line="195" w:lineRule="auto"/>
              <w:ind w:left="329" w:firstLine="0" w:firstLineChars="0"/>
              <w:rPr>
                <w:rFonts w:hint="eastAsia" w:eastAsia="宋体"/>
                <w:color w:val="auto"/>
                <w:sz w:val="21"/>
                <w:szCs w:val="21"/>
                <w:lang w:val="en-US" w:eastAsia="zh-CN"/>
              </w:rPr>
            </w:pPr>
            <w:r>
              <w:rPr>
                <w:rFonts w:eastAsia="Times New Roman"/>
                <w:color w:val="auto"/>
                <w:sz w:val="21"/>
                <w:szCs w:val="21"/>
              </w:rPr>
              <w:t>DA</w:t>
            </w:r>
            <w:r>
              <w:rPr>
                <w:rFonts w:eastAsia="Times New Roman"/>
                <w:color w:val="auto"/>
                <w:spacing w:val="8"/>
                <w:sz w:val="21"/>
                <w:szCs w:val="21"/>
              </w:rPr>
              <w:t>00</w:t>
            </w:r>
            <w:r>
              <w:rPr>
                <w:rFonts w:hint="eastAsia"/>
                <w:color w:val="auto"/>
                <w:spacing w:val="8"/>
                <w:sz w:val="21"/>
                <w:szCs w:val="21"/>
                <w:lang w:val="en-US" w:eastAsia="zh-CN"/>
              </w:rPr>
              <w:t>2</w:t>
            </w:r>
          </w:p>
        </w:tc>
        <w:tc>
          <w:tcPr>
            <w:tcW w:w="1558" w:type="dxa"/>
            <w:vAlign w:val="center"/>
          </w:tcPr>
          <w:p>
            <w:pPr>
              <w:pStyle w:val="68"/>
              <w:spacing w:before="96" w:line="229" w:lineRule="auto"/>
              <w:ind w:left="260" w:firstLine="0" w:firstLineChars="0"/>
              <w:rPr>
                <w:rFonts w:ascii="Times New Roman" w:hAnsi="Times New Roman" w:cs="Times New Roman"/>
                <w:color w:val="auto"/>
                <w:spacing w:val="7"/>
                <w:sz w:val="21"/>
                <w:szCs w:val="21"/>
              </w:rPr>
            </w:pPr>
            <w:r>
              <w:rPr>
                <w:rFonts w:ascii="Times New Roman" w:hAnsi="Times New Roman" w:cs="Times New Roman"/>
                <w:color w:val="auto"/>
                <w:spacing w:val="5"/>
                <w:position w:val="2"/>
                <w:sz w:val="21"/>
                <w:szCs w:val="21"/>
              </w:rPr>
              <w:t>苯并</w:t>
            </w:r>
            <w:r>
              <w:rPr>
                <w:rFonts w:ascii="Times New Roman" w:hAnsi="Times New Roman" w:eastAsia="Times New Roman" w:cs="Times New Roman"/>
                <w:color w:val="auto"/>
                <w:spacing w:val="5"/>
                <w:position w:val="2"/>
                <w:sz w:val="21"/>
                <w:szCs w:val="21"/>
              </w:rPr>
              <w:t>[a]</w:t>
            </w:r>
            <w:r>
              <w:rPr>
                <w:rFonts w:ascii="Times New Roman" w:hAnsi="Times New Roman" w:cs="Times New Roman"/>
                <w:color w:val="auto"/>
                <w:spacing w:val="5"/>
                <w:position w:val="2"/>
                <w:sz w:val="21"/>
                <w:szCs w:val="21"/>
              </w:rPr>
              <w:t>芘</w:t>
            </w:r>
          </w:p>
        </w:tc>
        <w:tc>
          <w:tcPr>
            <w:tcW w:w="1585" w:type="dxa"/>
            <w:vAlign w:val="center"/>
          </w:tcPr>
          <w:p>
            <w:pPr>
              <w:widowControl/>
              <w:ind w:firstLine="0" w:firstLineChars="0"/>
              <w:jc w:val="center"/>
              <w:textAlignment w:val="center"/>
              <w:rPr>
                <w:rFonts w:eastAsia="Times New Roman"/>
                <w:color w:val="auto"/>
                <w:spacing w:val="3"/>
                <w:sz w:val="21"/>
                <w:szCs w:val="21"/>
              </w:rPr>
            </w:pPr>
            <w:r>
              <w:rPr>
                <w:color w:val="auto"/>
                <w:kern w:val="0"/>
                <w:sz w:val="21"/>
                <w:szCs w:val="21"/>
                <w:lang w:bidi="ar"/>
              </w:rPr>
              <w:t>0.000057</w:t>
            </w:r>
          </w:p>
        </w:tc>
        <w:tc>
          <w:tcPr>
            <w:tcW w:w="1471" w:type="dxa"/>
            <w:vAlign w:val="center"/>
          </w:tcPr>
          <w:p>
            <w:pPr>
              <w:widowControl/>
              <w:ind w:firstLine="0" w:firstLineChars="0"/>
              <w:jc w:val="center"/>
              <w:textAlignment w:val="center"/>
              <w:rPr>
                <w:rFonts w:eastAsia="Times New Roman"/>
                <w:color w:val="auto"/>
                <w:spacing w:val="2"/>
                <w:sz w:val="21"/>
                <w:szCs w:val="21"/>
              </w:rPr>
            </w:pPr>
            <w:r>
              <w:rPr>
                <w:color w:val="auto"/>
                <w:kern w:val="0"/>
                <w:sz w:val="21"/>
                <w:szCs w:val="21"/>
                <w:lang w:bidi="ar"/>
              </w:rPr>
              <w:t>0.7596</w:t>
            </w:r>
          </w:p>
        </w:tc>
        <w:tc>
          <w:tcPr>
            <w:tcW w:w="1556" w:type="dxa"/>
            <w:vMerge w:val="restart"/>
            <w:vAlign w:val="center"/>
          </w:tcPr>
          <w:p>
            <w:pPr>
              <w:spacing w:before="132" w:line="195" w:lineRule="auto"/>
              <w:ind w:left="586" w:firstLine="0" w:firstLineChars="0"/>
              <w:rPr>
                <w:rFonts w:eastAsia="Times New Roman"/>
                <w:color w:val="auto"/>
                <w:spacing w:val="1"/>
                <w:sz w:val="21"/>
                <w:szCs w:val="21"/>
              </w:rPr>
            </w:pPr>
            <w:r>
              <w:rPr>
                <w:rFonts w:hint="eastAsia"/>
                <w:color w:val="auto"/>
                <w:spacing w:val="1"/>
                <w:sz w:val="21"/>
                <w:szCs w:val="21"/>
              </w:rPr>
              <w:t>143</w:t>
            </w:r>
          </w:p>
        </w:tc>
        <w:tc>
          <w:tcPr>
            <w:tcW w:w="1393" w:type="dxa"/>
            <w:vAlign w:val="center"/>
          </w:tcPr>
          <w:p>
            <w:pPr>
              <w:pStyle w:val="68"/>
              <w:spacing w:before="96" w:line="266" w:lineRule="exact"/>
              <w:ind w:left="639" w:firstLine="0" w:firstLineChars="0"/>
              <w:rPr>
                <w:rFonts w:ascii="Times New Roman" w:hAnsi="Times New Roman" w:cs="Times New Roman"/>
                <w:color w:val="auto"/>
                <w:position w:val="1"/>
                <w:sz w:val="21"/>
                <w:szCs w:val="21"/>
              </w:rPr>
            </w:pPr>
            <w:r>
              <w:rPr>
                <w:rFonts w:ascii="Times New Roman" w:hAnsi="Times New Roman" w:cs="Times New Roman"/>
                <w:color w:val="auto"/>
                <w:position w:val="1"/>
                <w:sz w:val="21"/>
                <w:szCs w:val="21"/>
              </w:rPr>
              <w:t>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1275" w:type="dxa"/>
            <w:vMerge w:val="continue"/>
            <w:vAlign w:val="center"/>
          </w:tcPr>
          <w:p>
            <w:pPr>
              <w:spacing w:before="58" w:line="195" w:lineRule="auto"/>
              <w:ind w:left="329" w:firstLine="0" w:firstLineChars="0"/>
              <w:rPr>
                <w:rFonts w:eastAsia="Times New Roman"/>
                <w:color w:val="auto"/>
                <w:sz w:val="21"/>
                <w:szCs w:val="21"/>
              </w:rPr>
            </w:pPr>
          </w:p>
        </w:tc>
        <w:tc>
          <w:tcPr>
            <w:tcW w:w="1558" w:type="dxa"/>
            <w:shd w:val="clear" w:color="auto" w:fill="auto"/>
            <w:vAlign w:val="center"/>
          </w:tcPr>
          <w:p>
            <w:pPr>
              <w:pStyle w:val="68"/>
              <w:spacing w:before="97" w:line="229" w:lineRule="auto"/>
              <w:ind w:left="467" w:firstLine="0" w:firstLineChars="0"/>
              <w:rPr>
                <w:rFonts w:ascii="Times New Roman" w:hAnsi="Times New Roman" w:cs="Times New Roman"/>
                <w:color w:val="auto"/>
                <w:sz w:val="21"/>
                <w:szCs w:val="21"/>
                <w:lang w:eastAsia="zh-CN"/>
              </w:rPr>
            </w:pPr>
            <w:r>
              <w:rPr>
                <w:rFonts w:ascii="Times New Roman" w:hAnsi="Times New Roman" w:cs="Times New Roman"/>
                <w:color w:val="auto"/>
                <w:spacing w:val="7"/>
                <w:sz w:val="21"/>
                <w:szCs w:val="21"/>
                <w:lang w:eastAsia="zh-CN"/>
              </w:rPr>
              <w:t>PM</w:t>
            </w:r>
            <w:r>
              <w:rPr>
                <w:rFonts w:ascii="Times New Roman" w:hAnsi="Times New Roman" w:cs="Times New Roman"/>
                <w:color w:val="auto"/>
                <w:spacing w:val="7"/>
                <w:sz w:val="21"/>
                <w:szCs w:val="21"/>
                <w:vertAlign w:val="subscript"/>
                <w:lang w:eastAsia="zh-CN"/>
              </w:rPr>
              <w:t>10</w:t>
            </w:r>
          </w:p>
        </w:tc>
        <w:tc>
          <w:tcPr>
            <w:tcW w:w="1585" w:type="dxa"/>
            <w:vAlign w:val="center"/>
          </w:tcPr>
          <w:p>
            <w:pPr>
              <w:widowControl/>
              <w:ind w:firstLine="0" w:firstLineChars="0"/>
              <w:jc w:val="center"/>
              <w:textAlignment w:val="center"/>
              <w:rPr>
                <w:rFonts w:eastAsia="Times New Roman"/>
                <w:color w:val="auto"/>
                <w:spacing w:val="3"/>
                <w:sz w:val="21"/>
                <w:szCs w:val="21"/>
              </w:rPr>
            </w:pPr>
            <w:r>
              <w:rPr>
                <w:color w:val="auto"/>
                <w:kern w:val="0"/>
                <w:sz w:val="21"/>
                <w:szCs w:val="21"/>
                <w:lang w:bidi="ar"/>
              </w:rPr>
              <w:t>0.23352</w:t>
            </w:r>
          </w:p>
        </w:tc>
        <w:tc>
          <w:tcPr>
            <w:tcW w:w="1471" w:type="dxa"/>
            <w:vAlign w:val="center"/>
          </w:tcPr>
          <w:p>
            <w:pPr>
              <w:widowControl/>
              <w:ind w:firstLine="0" w:firstLineChars="0"/>
              <w:jc w:val="center"/>
              <w:textAlignment w:val="center"/>
              <w:rPr>
                <w:rFonts w:eastAsia="Times New Roman"/>
                <w:color w:val="auto"/>
                <w:spacing w:val="2"/>
                <w:sz w:val="21"/>
                <w:szCs w:val="21"/>
              </w:rPr>
            </w:pPr>
            <w:r>
              <w:rPr>
                <w:color w:val="auto"/>
                <w:kern w:val="0"/>
                <w:sz w:val="21"/>
                <w:szCs w:val="21"/>
                <w:lang w:bidi="ar"/>
              </w:rPr>
              <w:t>0.0516</w:t>
            </w:r>
          </w:p>
        </w:tc>
        <w:tc>
          <w:tcPr>
            <w:tcW w:w="1556" w:type="dxa"/>
            <w:vMerge w:val="continue"/>
            <w:vAlign w:val="center"/>
          </w:tcPr>
          <w:p>
            <w:pPr>
              <w:spacing w:before="132" w:line="195" w:lineRule="auto"/>
              <w:ind w:left="586" w:firstLine="0" w:firstLineChars="0"/>
              <w:rPr>
                <w:rFonts w:eastAsia="Times New Roman"/>
                <w:color w:val="auto"/>
                <w:spacing w:val="1"/>
                <w:sz w:val="21"/>
                <w:szCs w:val="21"/>
              </w:rPr>
            </w:pPr>
          </w:p>
        </w:tc>
        <w:tc>
          <w:tcPr>
            <w:tcW w:w="1393" w:type="dxa"/>
            <w:vAlign w:val="center"/>
          </w:tcPr>
          <w:p>
            <w:pPr>
              <w:pStyle w:val="68"/>
              <w:spacing w:before="96" w:line="266" w:lineRule="exact"/>
              <w:ind w:left="639" w:firstLine="0" w:firstLineChars="0"/>
              <w:rPr>
                <w:rFonts w:ascii="Times New Roman" w:hAnsi="Times New Roman" w:cs="Times New Roman"/>
                <w:color w:val="auto"/>
                <w:position w:val="1"/>
                <w:sz w:val="21"/>
                <w:szCs w:val="21"/>
              </w:rPr>
            </w:pPr>
            <w:r>
              <w:rPr>
                <w:rFonts w:ascii="Times New Roman" w:hAnsi="Times New Roman" w:cs="Times New Roman"/>
                <w:color w:val="auto"/>
                <w:position w:val="1"/>
                <w:sz w:val="21"/>
                <w:szCs w:val="21"/>
              </w:rPr>
              <w:t>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1275" w:type="dxa"/>
            <w:vMerge w:val="continue"/>
            <w:vAlign w:val="center"/>
          </w:tcPr>
          <w:p>
            <w:pPr>
              <w:spacing w:before="58" w:line="195" w:lineRule="auto"/>
              <w:ind w:left="329" w:firstLine="0" w:firstLineChars="0"/>
              <w:rPr>
                <w:rFonts w:eastAsia="Times New Roman"/>
                <w:color w:val="auto"/>
                <w:sz w:val="21"/>
                <w:szCs w:val="21"/>
              </w:rPr>
            </w:pPr>
          </w:p>
        </w:tc>
        <w:tc>
          <w:tcPr>
            <w:tcW w:w="1558" w:type="dxa"/>
            <w:shd w:val="clear" w:color="auto" w:fill="auto"/>
            <w:vAlign w:val="center"/>
          </w:tcPr>
          <w:p>
            <w:pPr>
              <w:pStyle w:val="68"/>
              <w:spacing w:before="95" w:line="228" w:lineRule="auto"/>
              <w:ind w:left="366" w:firstLine="0" w:firstLineChars="0"/>
              <w:rPr>
                <w:rFonts w:ascii="Times New Roman" w:hAnsi="Times New Roman" w:cs="Times New Roman"/>
                <w:color w:val="auto"/>
                <w:sz w:val="21"/>
                <w:szCs w:val="21"/>
              </w:rPr>
            </w:pPr>
            <w:r>
              <w:rPr>
                <w:rFonts w:ascii="Times New Roman" w:hAnsi="Times New Roman" w:cs="Times New Roman"/>
                <w:color w:val="auto"/>
                <w:spacing w:val="6"/>
                <w:sz w:val="21"/>
                <w:szCs w:val="21"/>
              </w:rPr>
              <w:t>二氧化硫</w:t>
            </w:r>
          </w:p>
        </w:tc>
        <w:tc>
          <w:tcPr>
            <w:tcW w:w="1585" w:type="dxa"/>
            <w:vAlign w:val="center"/>
          </w:tcPr>
          <w:p>
            <w:pPr>
              <w:widowControl/>
              <w:ind w:firstLine="0" w:firstLineChars="0"/>
              <w:jc w:val="center"/>
              <w:textAlignment w:val="center"/>
              <w:rPr>
                <w:rFonts w:eastAsia="Times New Roman"/>
                <w:color w:val="auto"/>
                <w:spacing w:val="3"/>
                <w:sz w:val="21"/>
                <w:szCs w:val="21"/>
              </w:rPr>
            </w:pPr>
            <w:r>
              <w:rPr>
                <w:color w:val="auto"/>
                <w:kern w:val="0"/>
                <w:sz w:val="21"/>
                <w:szCs w:val="21"/>
                <w:lang w:bidi="ar"/>
              </w:rPr>
              <w:t>0.03984</w:t>
            </w:r>
          </w:p>
        </w:tc>
        <w:tc>
          <w:tcPr>
            <w:tcW w:w="1471" w:type="dxa"/>
            <w:vAlign w:val="center"/>
          </w:tcPr>
          <w:p>
            <w:pPr>
              <w:widowControl/>
              <w:ind w:firstLine="0" w:firstLineChars="0"/>
              <w:jc w:val="center"/>
              <w:textAlignment w:val="center"/>
              <w:rPr>
                <w:rFonts w:eastAsia="Times New Roman"/>
                <w:color w:val="auto"/>
                <w:spacing w:val="2"/>
                <w:sz w:val="21"/>
                <w:szCs w:val="21"/>
              </w:rPr>
            </w:pPr>
            <w:r>
              <w:rPr>
                <w:color w:val="auto"/>
                <w:kern w:val="0"/>
                <w:sz w:val="21"/>
                <w:szCs w:val="21"/>
                <w:lang w:bidi="ar"/>
              </w:rPr>
              <w:t>0.0084</w:t>
            </w:r>
          </w:p>
        </w:tc>
        <w:tc>
          <w:tcPr>
            <w:tcW w:w="1556" w:type="dxa"/>
            <w:vMerge w:val="continue"/>
            <w:vAlign w:val="center"/>
          </w:tcPr>
          <w:p>
            <w:pPr>
              <w:spacing w:before="132" w:line="195" w:lineRule="auto"/>
              <w:ind w:left="586" w:firstLine="0" w:firstLineChars="0"/>
              <w:rPr>
                <w:rFonts w:eastAsia="Times New Roman"/>
                <w:color w:val="auto"/>
                <w:spacing w:val="1"/>
                <w:sz w:val="21"/>
                <w:szCs w:val="21"/>
              </w:rPr>
            </w:pPr>
          </w:p>
        </w:tc>
        <w:tc>
          <w:tcPr>
            <w:tcW w:w="1393" w:type="dxa"/>
            <w:vAlign w:val="center"/>
          </w:tcPr>
          <w:p>
            <w:pPr>
              <w:pStyle w:val="68"/>
              <w:spacing w:before="96" w:line="266" w:lineRule="exact"/>
              <w:ind w:left="639" w:firstLine="0" w:firstLineChars="0"/>
              <w:rPr>
                <w:rFonts w:ascii="Times New Roman" w:hAnsi="Times New Roman" w:cs="Times New Roman"/>
                <w:color w:val="auto"/>
                <w:position w:val="1"/>
                <w:sz w:val="21"/>
                <w:szCs w:val="21"/>
              </w:rPr>
            </w:pPr>
            <w:r>
              <w:rPr>
                <w:rFonts w:ascii="Times New Roman" w:hAnsi="Times New Roman" w:cs="Times New Roman"/>
                <w:color w:val="auto"/>
                <w:position w:val="1"/>
                <w:sz w:val="21"/>
                <w:szCs w:val="21"/>
              </w:rPr>
              <w:t>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1275" w:type="dxa"/>
            <w:vMerge w:val="continue"/>
            <w:tcBorders>
              <w:top w:val="nil"/>
            </w:tcBorders>
            <w:vAlign w:val="center"/>
          </w:tcPr>
          <w:p>
            <w:pPr>
              <w:ind w:firstLine="0" w:firstLineChars="0"/>
              <w:rPr>
                <w:color w:val="auto"/>
                <w:sz w:val="21"/>
                <w:szCs w:val="21"/>
              </w:rPr>
            </w:pPr>
          </w:p>
        </w:tc>
        <w:tc>
          <w:tcPr>
            <w:tcW w:w="1558" w:type="dxa"/>
            <w:shd w:val="clear" w:color="auto" w:fill="auto"/>
            <w:vAlign w:val="center"/>
          </w:tcPr>
          <w:p>
            <w:pPr>
              <w:pStyle w:val="68"/>
              <w:spacing w:before="96" w:line="228" w:lineRule="auto"/>
              <w:ind w:left="361" w:firstLine="0" w:firstLineChars="0"/>
              <w:rPr>
                <w:rFonts w:ascii="Times New Roman" w:hAnsi="Times New Roman" w:cs="Times New Roman"/>
                <w:color w:val="auto"/>
                <w:sz w:val="21"/>
                <w:szCs w:val="21"/>
              </w:rPr>
            </w:pPr>
            <w:r>
              <w:rPr>
                <w:rFonts w:ascii="Times New Roman" w:hAnsi="Times New Roman" w:cs="Times New Roman"/>
                <w:color w:val="auto"/>
                <w:spacing w:val="7"/>
                <w:sz w:val="21"/>
                <w:szCs w:val="21"/>
              </w:rPr>
              <w:t>氮氧化物</w:t>
            </w:r>
          </w:p>
        </w:tc>
        <w:tc>
          <w:tcPr>
            <w:tcW w:w="1585" w:type="dxa"/>
            <w:vAlign w:val="center"/>
          </w:tcPr>
          <w:p>
            <w:pPr>
              <w:widowControl/>
              <w:ind w:firstLine="0" w:firstLineChars="0"/>
              <w:jc w:val="center"/>
              <w:textAlignment w:val="center"/>
              <w:rPr>
                <w:rFonts w:eastAsia="Times New Roman"/>
                <w:color w:val="auto"/>
                <w:sz w:val="21"/>
                <w:szCs w:val="21"/>
              </w:rPr>
            </w:pPr>
            <w:r>
              <w:rPr>
                <w:color w:val="auto"/>
                <w:kern w:val="0"/>
                <w:sz w:val="21"/>
                <w:szCs w:val="21"/>
                <w:lang w:bidi="ar"/>
              </w:rPr>
              <w:t>0.29616</w:t>
            </w:r>
          </w:p>
        </w:tc>
        <w:tc>
          <w:tcPr>
            <w:tcW w:w="1471" w:type="dxa"/>
            <w:vAlign w:val="center"/>
          </w:tcPr>
          <w:p>
            <w:pPr>
              <w:widowControl/>
              <w:ind w:firstLine="0" w:firstLineChars="0"/>
              <w:jc w:val="center"/>
              <w:textAlignment w:val="center"/>
              <w:rPr>
                <w:rFonts w:eastAsia="Times New Roman"/>
                <w:color w:val="auto"/>
                <w:sz w:val="21"/>
                <w:szCs w:val="21"/>
              </w:rPr>
            </w:pPr>
            <w:r>
              <w:rPr>
                <w:snapToGrid w:val="0"/>
                <w:color w:val="auto"/>
                <w:kern w:val="0"/>
                <w:sz w:val="22"/>
                <w:szCs w:val="22"/>
                <w:lang w:bidi="ar"/>
              </w:rPr>
              <w:t>0.1</w:t>
            </w:r>
            <w:r>
              <w:rPr>
                <w:rFonts w:hint="eastAsia"/>
                <w:snapToGrid w:val="0"/>
                <w:color w:val="auto"/>
                <w:kern w:val="0"/>
                <w:sz w:val="22"/>
                <w:szCs w:val="22"/>
                <w:lang w:bidi="ar"/>
              </w:rPr>
              <w:t>2</w:t>
            </w:r>
          </w:p>
        </w:tc>
        <w:tc>
          <w:tcPr>
            <w:tcW w:w="1556" w:type="dxa"/>
            <w:vMerge w:val="continue"/>
            <w:vAlign w:val="center"/>
          </w:tcPr>
          <w:p>
            <w:pPr>
              <w:spacing w:before="131" w:line="195" w:lineRule="auto"/>
              <w:ind w:left="586" w:firstLine="0" w:firstLineChars="0"/>
              <w:rPr>
                <w:rFonts w:eastAsia="Times New Roman"/>
                <w:color w:val="auto"/>
                <w:sz w:val="21"/>
                <w:szCs w:val="21"/>
              </w:rPr>
            </w:pPr>
          </w:p>
        </w:tc>
        <w:tc>
          <w:tcPr>
            <w:tcW w:w="1393" w:type="dxa"/>
            <w:vAlign w:val="center"/>
          </w:tcPr>
          <w:p>
            <w:pPr>
              <w:pStyle w:val="68"/>
              <w:spacing w:before="95" w:line="267" w:lineRule="exact"/>
              <w:ind w:left="639" w:firstLine="0" w:firstLineChars="0"/>
              <w:rPr>
                <w:rFonts w:ascii="Times New Roman" w:hAnsi="Times New Roman" w:cs="Times New Roman"/>
                <w:color w:val="auto"/>
                <w:sz w:val="21"/>
                <w:szCs w:val="21"/>
              </w:rPr>
            </w:pPr>
            <w:r>
              <w:rPr>
                <w:rFonts w:ascii="Times New Roman" w:hAnsi="Times New Roman" w:cs="Times New Roman"/>
                <w:color w:val="auto"/>
                <w:position w:val="1"/>
                <w:sz w:val="21"/>
                <w:szCs w:val="21"/>
              </w:rPr>
              <w:t>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1275" w:type="dxa"/>
            <w:vMerge w:val="restart"/>
            <w:tcBorders>
              <w:bottom w:val="nil"/>
            </w:tcBorders>
            <w:vAlign w:val="center"/>
          </w:tcPr>
          <w:p>
            <w:pPr>
              <w:spacing w:line="477" w:lineRule="auto"/>
              <w:ind w:firstLine="0" w:firstLineChars="0"/>
              <w:rPr>
                <w:color w:val="auto"/>
                <w:sz w:val="21"/>
                <w:szCs w:val="21"/>
              </w:rPr>
            </w:pPr>
          </w:p>
          <w:p>
            <w:pPr>
              <w:spacing w:before="58" w:line="195" w:lineRule="auto"/>
              <w:ind w:left="329" w:firstLine="0" w:firstLineChars="0"/>
              <w:rPr>
                <w:color w:val="auto"/>
                <w:sz w:val="21"/>
                <w:szCs w:val="21"/>
              </w:rPr>
            </w:pPr>
            <w:r>
              <w:rPr>
                <w:rFonts w:eastAsia="Times New Roman"/>
                <w:color w:val="auto"/>
                <w:sz w:val="21"/>
                <w:szCs w:val="21"/>
              </w:rPr>
              <w:t>DA</w:t>
            </w:r>
            <w:r>
              <w:rPr>
                <w:rFonts w:eastAsia="Times New Roman"/>
                <w:color w:val="auto"/>
                <w:spacing w:val="8"/>
                <w:sz w:val="21"/>
                <w:szCs w:val="21"/>
              </w:rPr>
              <w:t>00</w:t>
            </w:r>
            <w:r>
              <w:rPr>
                <w:color w:val="auto"/>
                <w:spacing w:val="8"/>
                <w:sz w:val="21"/>
                <w:szCs w:val="21"/>
              </w:rPr>
              <w:t>1</w:t>
            </w:r>
          </w:p>
        </w:tc>
        <w:tc>
          <w:tcPr>
            <w:tcW w:w="1558" w:type="dxa"/>
            <w:vAlign w:val="center"/>
          </w:tcPr>
          <w:p>
            <w:pPr>
              <w:pStyle w:val="68"/>
              <w:spacing w:before="97" w:line="229" w:lineRule="auto"/>
              <w:ind w:left="467" w:firstLine="0" w:firstLineChars="0"/>
              <w:rPr>
                <w:rFonts w:ascii="Times New Roman" w:hAnsi="Times New Roman" w:cs="Times New Roman"/>
                <w:color w:val="auto"/>
                <w:sz w:val="21"/>
                <w:szCs w:val="21"/>
              </w:rPr>
            </w:pPr>
            <w:r>
              <w:rPr>
                <w:rFonts w:ascii="Times New Roman" w:hAnsi="Times New Roman" w:cs="Times New Roman"/>
                <w:color w:val="auto"/>
                <w:spacing w:val="7"/>
                <w:sz w:val="21"/>
                <w:szCs w:val="21"/>
                <w:lang w:eastAsia="zh-CN"/>
              </w:rPr>
              <w:t>PM</w:t>
            </w:r>
            <w:r>
              <w:rPr>
                <w:rFonts w:ascii="Times New Roman" w:hAnsi="Times New Roman" w:cs="Times New Roman"/>
                <w:color w:val="auto"/>
                <w:spacing w:val="7"/>
                <w:sz w:val="21"/>
                <w:szCs w:val="21"/>
                <w:vertAlign w:val="subscript"/>
                <w:lang w:eastAsia="zh-CN"/>
              </w:rPr>
              <w:t>10</w:t>
            </w:r>
          </w:p>
        </w:tc>
        <w:tc>
          <w:tcPr>
            <w:tcW w:w="1585" w:type="dxa"/>
            <w:vAlign w:val="center"/>
          </w:tcPr>
          <w:p>
            <w:pPr>
              <w:widowControl/>
              <w:ind w:firstLine="0" w:firstLineChars="0"/>
              <w:jc w:val="center"/>
              <w:textAlignment w:val="center"/>
              <w:rPr>
                <w:rFonts w:eastAsia="Times New Roman"/>
                <w:color w:val="auto"/>
                <w:sz w:val="21"/>
                <w:szCs w:val="21"/>
              </w:rPr>
            </w:pPr>
            <w:r>
              <w:rPr>
                <w:color w:val="auto"/>
                <w:kern w:val="0"/>
                <w:sz w:val="21"/>
                <w:szCs w:val="21"/>
                <w:lang w:bidi="ar"/>
              </w:rPr>
              <w:t>2.31</w:t>
            </w:r>
          </w:p>
        </w:tc>
        <w:tc>
          <w:tcPr>
            <w:tcW w:w="1471" w:type="dxa"/>
            <w:vAlign w:val="center"/>
          </w:tcPr>
          <w:p>
            <w:pPr>
              <w:widowControl/>
              <w:ind w:firstLine="0" w:firstLineChars="0"/>
              <w:jc w:val="center"/>
              <w:textAlignment w:val="center"/>
              <w:rPr>
                <w:rFonts w:eastAsia="Times New Roman"/>
                <w:color w:val="auto"/>
                <w:sz w:val="21"/>
                <w:szCs w:val="21"/>
              </w:rPr>
            </w:pPr>
            <w:r>
              <w:rPr>
                <w:color w:val="auto"/>
                <w:kern w:val="0"/>
                <w:sz w:val="21"/>
                <w:szCs w:val="21"/>
                <w:lang w:bidi="ar"/>
              </w:rPr>
              <w:t>0.5136</w:t>
            </w:r>
          </w:p>
        </w:tc>
        <w:tc>
          <w:tcPr>
            <w:tcW w:w="1556" w:type="dxa"/>
            <w:vMerge w:val="restart"/>
            <w:vAlign w:val="center"/>
          </w:tcPr>
          <w:p>
            <w:pPr>
              <w:spacing w:before="132" w:line="195" w:lineRule="auto"/>
              <w:ind w:left="586" w:firstLine="0" w:firstLineChars="0"/>
              <w:rPr>
                <w:rFonts w:eastAsia="Times New Roman"/>
                <w:color w:val="auto"/>
                <w:sz w:val="21"/>
                <w:szCs w:val="21"/>
              </w:rPr>
            </w:pPr>
            <w:r>
              <w:rPr>
                <w:rFonts w:hint="eastAsia"/>
                <w:color w:val="auto"/>
                <w:spacing w:val="1"/>
                <w:sz w:val="21"/>
                <w:szCs w:val="21"/>
              </w:rPr>
              <w:t>143</w:t>
            </w:r>
          </w:p>
        </w:tc>
        <w:tc>
          <w:tcPr>
            <w:tcW w:w="1393" w:type="dxa"/>
            <w:vAlign w:val="center"/>
          </w:tcPr>
          <w:p>
            <w:pPr>
              <w:pStyle w:val="68"/>
              <w:spacing w:before="96" w:line="267" w:lineRule="exact"/>
              <w:ind w:left="639" w:firstLine="0" w:firstLineChars="0"/>
              <w:rPr>
                <w:rFonts w:ascii="Times New Roman" w:hAnsi="Times New Roman" w:cs="Times New Roman"/>
                <w:color w:val="auto"/>
                <w:sz w:val="21"/>
                <w:szCs w:val="21"/>
              </w:rPr>
            </w:pPr>
            <w:r>
              <w:rPr>
                <w:rFonts w:ascii="Times New Roman" w:hAnsi="Times New Roman" w:cs="Times New Roman"/>
                <w:color w:val="auto"/>
                <w:position w:val="1"/>
                <w:sz w:val="21"/>
                <w:szCs w:val="21"/>
              </w:rPr>
              <w:t>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275" w:type="dxa"/>
            <w:vMerge w:val="continue"/>
            <w:tcBorders>
              <w:top w:val="nil"/>
              <w:bottom w:val="nil"/>
            </w:tcBorders>
            <w:vAlign w:val="center"/>
          </w:tcPr>
          <w:p>
            <w:pPr>
              <w:ind w:firstLine="0" w:firstLineChars="0"/>
              <w:rPr>
                <w:color w:val="auto"/>
                <w:sz w:val="21"/>
                <w:szCs w:val="21"/>
              </w:rPr>
            </w:pPr>
          </w:p>
        </w:tc>
        <w:tc>
          <w:tcPr>
            <w:tcW w:w="1558" w:type="dxa"/>
            <w:vAlign w:val="center"/>
          </w:tcPr>
          <w:p>
            <w:pPr>
              <w:pStyle w:val="68"/>
              <w:spacing w:before="95" w:line="228" w:lineRule="auto"/>
              <w:ind w:left="366" w:firstLine="0" w:firstLineChars="0"/>
              <w:rPr>
                <w:rFonts w:ascii="Times New Roman" w:hAnsi="Times New Roman" w:cs="Times New Roman"/>
                <w:color w:val="auto"/>
                <w:sz w:val="21"/>
                <w:szCs w:val="21"/>
              </w:rPr>
            </w:pPr>
            <w:r>
              <w:rPr>
                <w:rFonts w:ascii="Times New Roman" w:hAnsi="Times New Roman" w:cs="Times New Roman"/>
                <w:color w:val="auto"/>
                <w:spacing w:val="6"/>
                <w:sz w:val="21"/>
                <w:szCs w:val="21"/>
              </w:rPr>
              <w:t>二氧化硫</w:t>
            </w:r>
          </w:p>
        </w:tc>
        <w:tc>
          <w:tcPr>
            <w:tcW w:w="1585" w:type="dxa"/>
            <w:vAlign w:val="center"/>
          </w:tcPr>
          <w:p>
            <w:pPr>
              <w:widowControl/>
              <w:ind w:firstLine="0" w:firstLineChars="0"/>
              <w:jc w:val="center"/>
              <w:textAlignment w:val="center"/>
              <w:rPr>
                <w:rFonts w:eastAsia="Times New Roman"/>
                <w:color w:val="auto"/>
                <w:sz w:val="21"/>
                <w:szCs w:val="21"/>
              </w:rPr>
            </w:pPr>
            <w:r>
              <w:rPr>
                <w:color w:val="auto"/>
                <w:kern w:val="0"/>
                <w:sz w:val="21"/>
                <w:szCs w:val="21"/>
                <w:lang w:bidi="ar"/>
              </w:rPr>
              <w:t>0.3696</w:t>
            </w:r>
          </w:p>
        </w:tc>
        <w:tc>
          <w:tcPr>
            <w:tcW w:w="1471" w:type="dxa"/>
            <w:vAlign w:val="center"/>
          </w:tcPr>
          <w:p>
            <w:pPr>
              <w:widowControl/>
              <w:ind w:firstLine="0" w:firstLineChars="0"/>
              <w:jc w:val="center"/>
              <w:textAlignment w:val="center"/>
              <w:rPr>
                <w:rFonts w:eastAsia="Times New Roman"/>
                <w:color w:val="auto"/>
                <w:sz w:val="21"/>
                <w:szCs w:val="21"/>
              </w:rPr>
            </w:pPr>
            <w:r>
              <w:rPr>
                <w:color w:val="auto"/>
                <w:kern w:val="0"/>
                <w:sz w:val="21"/>
                <w:szCs w:val="21"/>
                <w:lang w:bidi="ar"/>
              </w:rPr>
              <w:t>0.0744</w:t>
            </w:r>
          </w:p>
        </w:tc>
        <w:tc>
          <w:tcPr>
            <w:tcW w:w="1556" w:type="dxa"/>
            <w:vMerge w:val="continue"/>
            <w:vAlign w:val="center"/>
          </w:tcPr>
          <w:p>
            <w:pPr>
              <w:spacing w:before="131" w:line="195" w:lineRule="auto"/>
              <w:ind w:left="586" w:firstLine="0" w:firstLineChars="0"/>
              <w:rPr>
                <w:color w:val="auto"/>
                <w:sz w:val="21"/>
                <w:szCs w:val="21"/>
              </w:rPr>
            </w:pPr>
          </w:p>
        </w:tc>
        <w:tc>
          <w:tcPr>
            <w:tcW w:w="1393" w:type="dxa"/>
            <w:vAlign w:val="center"/>
          </w:tcPr>
          <w:p>
            <w:pPr>
              <w:pStyle w:val="68"/>
              <w:spacing w:before="95" w:line="266" w:lineRule="exact"/>
              <w:ind w:left="639" w:firstLine="0" w:firstLineChars="0"/>
              <w:rPr>
                <w:rFonts w:ascii="Times New Roman" w:hAnsi="Times New Roman" w:cs="Times New Roman"/>
                <w:color w:val="auto"/>
                <w:sz w:val="21"/>
                <w:szCs w:val="21"/>
              </w:rPr>
            </w:pPr>
            <w:r>
              <w:rPr>
                <w:rFonts w:ascii="Times New Roman" w:hAnsi="Times New Roman" w:cs="Times New Roman"/>
                <w:color w:val="auto"/>
                <w:position w:val="1"/>
                <w:sz w:val="21"/>
                <w:szCs w:val="21"/>
              </w:rPr>
              <w:t>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1275" w:type="dxa"/>
            <w:vMerge w:val="continue"/>
            <w:tcBorders>
              <w:top w:val="nil"/>
            </w:tcBorders>
            <w:vAlign w:val="center"/>
          </w:tcPr>
          <w:p>
            <w:pPr>
              <w:ind w:firstLine="0" w:firstLineChars="0"/>
              <w:rPr>
                <w:color w:val="auto"/>
                <w:sz w:val="21"/>
                <w:szCs w:val="21"/>
              </w:rPr>
            </w:pPr>
          </w:p>
        </w:tc>
        <w:tc>
          <w:tcPr>
            <w:tcW w:w="1558" w:type="dxa"/>
            <w:vAlign w:val="center"/>
          </w:tcPr>
          <w:p>
            <w:pPr>
              <w:widowControl/>
              <w:ind w:firstLine="0" w:firstLineChars="0"/>
              <w:jc w:val="center"/>
              <w:textAlignment w:val="center"/>
              <w:rPr>
                <w:color w:val="auto"/>
                <w:sz w:val="21"/>
                <w:szCs w:val="21"/>
              </w:rPr>
            </w:pPr>
            <w:r>
              <w:rPr>
                <w:color w:val="auto"/>
                <w:spacing w:val="7"/>
                <w:sz w:val="21"/>
                <w:szCs w:val="21"/>
              </w:rPr>
              <w:t>氮氧化物</w:t>
            </w:r>
          </w:p>
        </w:tc>
        <w:tc>
          <w:tcPr>
            <w:tcW w:w="1585" w:type="dxa"/>
            <w:vAlign w:val="center"/>
          </w:tcPr>
          <w:p>
            <w:pPr>
              <w:widowControl/>
              <w:ind w:firstLine="0" w:firstLineChars="0"/>
              <w:jc w:val="center"/>
              <w:textAlignment w:val="center"/>
              <w:rPr>
                <w:rFonts w:eastAsia="Times New Roman"/>
                <w:color w:val="auto"/>
                <w:sz w:val="21"/>
                <w:szCs w:val="21"/>
              </w:rPr>
            </w:pPr>
            <w:r>
              <w:rPr>
                <w:color w:val="auto"/>
                <w:kern w:val="0"/>
                <w:sz w:val="21"/>
                <w:szCs w:val="21"/>
                <w:lang w:bidi="ar"/>
              </w:rPr>
              <w:t>2.988</w:t>
            </w:r>
          </w:p>
        </w:tc>
        <w:tc>
          <w:tcPr>
            <w:tcW w:w="1471" w:type="dxa"/>
            <w:vAlign w:val="center"/>
          </w:tcPr>
          <w:p>
            <w:pPr>
              <w:widowControl/>
              <w:ind w:firstLine="0" w:firstLineChars="0"/>
              <w:jc w:val="center"/>
              <w:textAlignment w:val="center"/>
              <w:rPr>
                <w:rFonts w:eastAsia="Times New Roman"/>
                <w:color w:val="auto"/>
                <w:sz w:val="21"/>
                <w:szCs w:val="21"/>
              </w:rPr>
            </w:pPr>
            <w:r>
              <w:rPr>
                <w:color w:val="auto"/>
                <w:kern w:val="0"/>
                <w:sz w:val="21"/>
                <w:szCs w:val="21"/>
                <w:lang w:bidi="ar"/>
              </w:rPr>
              <w:t>1.1832</w:t>
            </w:r>
          </w:p>
        </w:tc>
        <w:tc>
          <w:tcPr>
            <w:tcW w:w="1556" w:type="dxa"/>
            <w:vMerge w:val="continue"/>
            <w:vAlign w:val="center"/>
          </w:tcPr>
          <w:p>
            <w:pPr>
              <w:spacing w:before="132" w:line="195" w:lineRule="auto"/>
              <w:ind w:left="586" w:firstLine="0" w:firstLineChars="0"/>
              <w:rPr>
                <w:rFonts w:eastAsia="Times New Roman"/>
                <w:color w:val="auto"/>
                <w:sz w:val="21"/>
                <w:szCs w:val="21"/>
              </w:rPr>
            </w:pPr>
          </w:p>
        </w:tc>
        <w:tc>
          <w:tcPr>
            <w:tcW w:w="1393" w:type="dxa"/>
            <w:vAlign w:val="center"/>
          </w:tcPr>
          <w:p>
            <w:pPr>
              <w:pStyle w:val="68"/>
              <w:spacing w:before="135" w:line="183" w:lineRule="auto"/>
              <w:ind w:left="642"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1275" w:type="dxa"/>
            <w:tcBorders>
              <w:bottom w:val="nil"/>
            </w:tcBorders>
            <w:vAlign w:val="center"/>
          </w:tcPr>
          <w:p>
            <w:pPr>
              <w:pStyle w:val="68"/>
              <w:spacing w:before="65" w:line="229" w:lineRule="auto"/>
              <w:ind w:left="121" w:firstLine="0" w:firstLineChars="0"/>
              <w:rPr>
                <w:rFonts w:ascii="Times New Roman" w:hAnsi="Times New Roman" w:cs="Times New Roman"/>
                <w:color w:val="auto"/>
                <w:sz w:val="21"/>
                <w:szCs w:val="21"/>
              </w:rPr>
            </w:pPr>
            <w:r>
              <w:rPr>
                <w:rFonts w:ascii="Times New Roman" w:hAnsi="Times New Roman" w:cs="Times New Roman"/>
                <w:color w:val="auto"/>
                <w:spacing w:val="7"/>
                <w:sz w:val="21"/>
                <w:szCs w:val="21"/>
              </w:rPr>
              <w:t>厂区无组织</w:t>
            </w:r>
          </w:p>
        </w:tc>
        <w:tc>
          <w:tcPr>
            <w:tcW w:w="1558" w:type="dxa"/>
            <w:vAlign w:val="center"/>
          </w:tcPr>
          <w:p>
            <w:pPr>
              <w:pStyle w:val="68"/>
              <w:spacing w:before="138" w:line="229" w:lineRule="auto"/>
              <w:ind w:left="467" w:firstLine="0" w:firstLineChars="0"/>
              <w:rPr>
                <w:rFonts w:ascii="Times New Roman" w:hAnsi="Times New Roman" w:cs="Times New Roman"/>
                <w:color w:val="auto"/>
                <w:sz w:val="21"/>
                <w:szCs w:val="21"/>
              </w:rPr>
            </w:pPr>
            <w:r>
              <w:rPr>
                <w:rFonts w:ascii="Times New Roman" w:hAnsi="Times New Roman" w:cs="Times New Roman"/>
                <w:color w:val="auto"/>
                <w:spacing w:val="7"/>
                <w:sz w:val="21"/>
                <w:szCs w:val="21"/>
              </w:rPr>
              <w:t>颗粒物</w:t>
            </w:r>
          </w:p>
        </w:tc>
        <w:tc>
          <w:tcPr>
            <w:tcW w:w="1585" w:type="dxa"/>
            <w:vAlign w:val="center"/>
          </w:tcPr>
          <w:p>
            <w:pPr>
              <w:spacing w:before="54" w:line="195" w:lineRule="auto"/>
              <w:ind w:left="455" w:firstLine="0" w:firstLineChars="0"/>
              <w:rPr>
                <w:rFonts w:eastAsia="Times New Roman"/>
                <w:color w:val="auto"/>
                <w:sz w:val="21"/>
                <w:szCs w:val="21"/>
              </w:rPr>
            </w:pPr>
            <w:r>
              <w:rPr>
                <w:color w:val="auto"/>
                <w:kern w:val="0"/>
                <w:sz w:val="21"/>
                <w:szCs w:val="21"/>
                <w:lang w:bidi="ar"/>
              </w:rPr>
              <w:t>3.2388</w:t>
            </w:r>
          </w:p>
        </w:tc>
        <w:tc>
          <w:tcPr>
            <w:tcW w:w="1471" w:type="dxa"/>
            <w:vAlign w:val="center"/>
          </w:tcPr>
          <w:p>
            <w:pPr>
              <w:spacing w:before="174" w:line="195" w:lineRule="auto"/>
              <w:ind w:left="554" w:firstLine="0" w:firstLineChars="0"/>
              <w:rPr>
                <w:color w:val="auto"/>
                <w:sz w:val="21"/>
                <w:szCs w:val="21"/>
              </w:rPr>
            </w:pPr>
            <w:r>
              <w:rPr>
                <w:color w:val="auto"/>
                <w:spacing w:val="3"/>
                <w:sz w:val="21"/>
                <w:szCs w:val="21"/>
              </w:rPr>
              <w:t>0.36</w:t>
            </w:r>
          </w:p>
        </w:tc>
        <w:tc>
          <w:tcPr>
            <w:tcW w:w="1556" w:type="dxa"/>
            <w:vAlign w:val="center"/>
          </w:tcPr>
          <w:p>
            <w:pPr>
              <w:spacing w:before="174" w:line="195" w:lineRule="auto"/>
              <w:ind w:left="585" w:firstLine="0" w:firstLineChars="0"/>
              <w:rPr>
                <w:rFonts w:eastAsia="Times New Roman"/>
                <w:color w:val="auto"/>
                <w:sz w:val="21"/>
                <w:szCs w:val="21"/>
              </w:rPr>
            </w:pPr>
            <w:r>
              <w:rPr>
                <w:color w:val="auto"/>
                <w:spacing w:val="2"/>
                <w:sz w:val="21"/>
                <w:szCs w:val="21"/>
              </w:rPr>
              <w:t>1</w:t>
            </w:r>
            <w:r>
              <w:rPr>
                <w:rFonts w:eastAsia="Times New Roman"/>
                <w:color w:val="auto"/>
                <w:spacing w:val="2"/>
                <w:sz w:val="21"/>
                <w:szCs w:val="21"/>
              </w:rPr>
              <w:t>05</w:t>
            </w:r>
          </w:p>
        </w:tc>
        <w:tc>
          <w:tcPr>
            <w:tcW w:w="1393" w:type="dxa"/>
            <w:vAlign w:val="center"/>
          </w:tcPr>
          <w:p>
            <w:pPr>
              <w:pStyle w:val="68"/>
              <w:spacing w:before="177" w:line="183" w:lineRule="auto"/>
              <w:ind w:left="642" w:firstLine="0" w:firstLineChars="0"/>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三</w:t>
            </w:r>
          </w:p>
        </w:tc>
      </w:tr>
    </w:tbl>
    <w:p>
      <w:pPr>
        <w:ind w:firstLine="480"/>
        <w:rPr>
          <w:color w:val="auto"/>
        </w:rPr>
      </w:pPr>
      <w:r>
        <w:rPr>
          <w:rFonts w:hint="eastAsia"/>
          <w:color w:val="auto"/>
        </w:rPr>
        <w:t>由上表可见，建设项目排放的大气污染物最大占标率为 1.1832%，根据导则，本项目大气环境影响评价工作等级为二级。根据《环境影响评价技术导则 大气环境》（HJ2.2-2018）8.1.2，本项目不进行进一步预测与评价，只对污染物排放量进行核算。</w:t>
      </w:r>
    </w:p>
    <w:p>
      <w:pPr>
        <w:pStyle w:val="5"/>
        <w:tabs>
          <w:tab w:val="left" w:pos="3949"/>
        </w:tabs>
        <w:ind w:firstLine="281"/>
        <w:rPr>
          <w:color w:val="auto"/>
        </w:rPr>
      </w:pPr>
      <w:r>
        <w:rPr>
          <w:rFonts w:hint="eastAsia"/>
          <w:color w:val="auto"/>
        </w:rPr>
        <w:t>5.6预测结果</w:t>
      </w:r>
    </w:p>
    <w:p>
      <w:pPr>
        <w:ind w:firstLine="482"/>
        <w:rPr>
          <w:b/>
          <w:bCs/>
          <w:color w:val="auto"/>
        </w:rPr>
      </w:pPr>
      <w:r>
        <w:rPr>
          <w:rFonts w:hint="eastAsia"/>
          <w:b/>
          <w:bCs/>
          <w:color w:val="auto"/>
        </w:rPr>
        <w:t>（1）导热油炉燃烧天然气产生的烟气预测结果</w:t>
      </w:r>
    </w:p>
    <w:p>
      <w:pPr>
        <w:ind w:firstLine="480"/>
        <w:rPr>
          <w:color w:val="auto"/>
        </w:rPr>
      </w:pPr>
      <w:r>
        <w:rPr>
          <w:rFonts w:hint="eastAsia"/>
          <w:color w:val="auto"/>
        </w:rPr>
        <w:t>导热油炉燃烧产生的烟气预测结果如下表5-6所示。</w:t>
      </w:r>
    </w:p>
    <w:p>
      <w:pPr>
        <w:ind w:firstLine="0" w:firstLineChars="0"/>
        <w:jc w:val="center"/>
        <w:rPr>
          <w:b/>
          <w:bCs/>
          <w:color w:val="auto"/>
        </w:rPr>
      </w:pPr>
      <w:r>
        <w:rPr>
          <w:rFonts w:hint="eastAsia"/>
          <w:b/>
          <w:bCs/>
          <w:color w:val="auto"/>
        </w:rPr>
        <w:t>表5-6  排气筒</w:t>
      </w:r>
      <w:r>
        <w:rPr>
          <w:b/>
          <w:bCs/>
          <w:color w:val="auto"/>
        </w:rPr>
        <w:t>DA001</w:t>
      </w:r>
      <w:r>
        <w:rPr>
          <w:rFonts w:hint="eastAsia"/>
          <w:b/>
          <w:bCs/>
          <w:color w:val="auto"/>
        </w:rPr>
        <w:t>预测结果</w:t>
      </w:r>
    </w:p>
    <w:tbl>
      <w:tblPr>
        <w:tblStyle w:val="61"/>
        <w:tblW w:w="507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77"/>
        <w:gridCol w:w="1189"/>
        <w:gridCol w:w="828"/>
        <w:gridCol w:w="1318"/>
        <w:gridCol w:w="1201"/>
        <w:gridCol w:w="1372"/>
        <w:gridCol w:w="9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934" w:type="pct"/>
            <w:vMerge w:val="restart"/>
            <w:tcBorders>
              <w:top w:val="single" w:color="000000" w:sz="2" w:space="0"/>
              <w:bottom w:val="nil"/>
              <w:right w:val="single" w:color="000000" w:sz="10" w:space="0"/>
              <w:tl2br w:val="single" w:color="000000" w:sz="2" w:space="0"/>
            </w:tcBorders>
            <w:vAlign w:val="center"/>
          </w:tcPr>
          <w:p>
            <w:pPr>
              <w:ind w:firstLine="0" w:firstLineChars="0"/>
              <w:jc w:val="center"/>
              <w:rPr>
                <w:color w:val="auto"/>
                <w:sz w:val="21"/>
                <w:szCs w:val="21"/>
              </w:rPr>
            </w:pPr>
            <w:r>
              <w:rPr>
                <w:rFonts w:hint="eastAsia"/>
                <w:color w:val="auto"/>
                <w:sz w:val="21"/>
                <w:szCs w:val="21"/>
              </w:rPr>
              <w:t xml:space="preserve">   </w:t>
            </w:r>
            <w:r>
              <w:rPr>
                <w:color w:val="auto"/>
                <w:sz w:val="21"/>
                <w:szCs w:val="21"/>
              </w:rPr>
              <w:t>污染物</w:t>
            </w:r>
          </w:p>
          <w:p>
            <w:pPr>
              <w:ind w:firstLine="0" w:firstLineChars="0"/>
              <w:jc w:val="center"/>
              <w:rPr>
                <w:color w:val="auto"/>
                <w:sz w:val="21"/>
                <w:szCs w:val="21"/>
              </w:rPr>
            </w:pPr>
            <w:r>
              <w:rPr>
                <w:color w:val="auto"/>
                <w:sz w:val="21"/>
                <w:szCs w:val="21"/>
              </w:rPr>
              <w:t xml:space="preserve"> </w:t>
            </w:r>
          </w:p>
          <w:p>
            <w:pPr>
              <w:ind w:firstLine="0" w:firstLineChars="0"/>
              <w:rPr>
                <w:color w:val="auto"/>
                <w:sz w:val="21"/>
                <w:szCs w:val="21"/>
              </w:rPr>
            </w:pPr>
            <w:r>
              <w:rPr>
                <w:color w:val="auto"/>
                <w:sz w:val="21"/>
                <w:szCs w:val="21"/>
              </w:rPr>
              <w:t>距离 D(m)</w:t>
            </w:r>
          </w:p>
        </w:tc>
        <w:tc>
          <w:tcPr>
            <w:tcW w:w="4065" w:type="pct"/>
            <w:gridSpan w:val="6"/>
            <w:tcBorders>
              <w:top w:val="single" w:color="000000" w:sz="2" w:space="0"/>
              <w:left w:val="single" w:color="000000" w:sz="10" w:space="0"/>
              <w:right w:val="single" w:color="000000" w:sz="10" w:space="0"/>
            </w:tcBorders>
            <w:vAlign w:val="center"/>
          </w:tcPr>
          <w:p>
            <w:pPr>
              <w:ind w:firstLine="0" w:firstLineChars="0"/>
              <w:jc w:val="center"/>
              <w:rPr>
                <w:color w:val="auto"/>
                <w:sz w:val="21"/>
                <w:szCs w:val="21"/>
              </w:rPr>
            </w:pPr>
            <w:r>
              <w:rPr>
                <w:color w:val="auto"/>
                <w:sz w:val="21"/>
                <w:szCs w:val="21"/>
              </w:rPr>
              <w:t>导热油炉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934" w:type="pct"/>
            <w:vMerge w:val="continue"/>
            <w:tcBorders>
              <w:top w:val="nil"/>
              <w:bottom w:val="nil"/>
              <w:right w:val="single" w:color="000000" w:sz="10" w:space="0"/>
              <w:tl2br w:val="single" w:color="000000" w:sz="2" w:space="0"/>
            </w:tcBorders>
            <w:vAlign w:val="center"/>
          </w:tcPr>
          <w:p>
            <w:pPr>
              <w:ind w:firstLine="0" w:firstLineChars="0"/>
              <w:jc w:val="center"/>
              <w:rPr>
                <w:color w:val="auto"/>
                <w:sz w:val="21"/>
                <w:szCs w:val="21"/>
              </w:rPr>
            </w:pPr>
          </w:p>
        </w:tc>
        <w:tc>
          <w:tcPr>
            <w:tcW w:w="1194" w:type="pct"/>
            <w:gridSpan w:val="2"/>
            <w:tcBorders>
              <w:left w:val="single" w:color="000000" w:sz="10" w:space="0"/>
              <w:right w:val="single" w:color="000000" w:sz="10" w:space="0"/>
            </w:tcBorders>
            <w:vAlign w:val="center"/>
          </w:tcPr>
          <w:p>
            <w:pPr>
              <w:ind w:firstLine="0" w:firstLineChars="0"/>
              <w:jc w:val="center"/>
              <w:rPr>
                <w:color w:val="auto"/>
                <w:sz w:val="21"/>
                <w:szCs w:val="21"/>
              </w:rPr>
            </w:pPr>
            <w:r>
              <w:rPr>
                <w:color w:val="auto"/>
                <w:sz w:val="21"/>
                <w:szCs w:val="21"/>
              </w:rPr>
              <w:t>PM</w:t>
            </w:r>
            <w:r>
              <w:rPr>
                <w:color w:val="auto"/>
                <w:sz w:val="21"/>
                <w:szCs w:val="21"/>
                <w:vertAlign w:val="subscript"/>
              </w:rPr>
              <w:t>10</w:t>
            </w:r>
          </w:p>
        </w:tc>
        <w:tc>
          <w:tcPr>
            <w:tcW w:w="1491" w:type="pct"/>
            <w:gridSpan w:val="2"/>
            <w:tcBorders>
              <w:left w:val="single" w:color="000000" w:sz="10" w:space="0"/>
              <w:right w:val="single" w:color="000000" w:sz="10" w:space="0"/>
            </w:tcBorders>
            <w:vAlign w:val="center"/>
          </w:tcPr>
          <w:p>
            <w:pPr>
              <w:ind w:firstLine="0" w:firstLineChars="0"/>
              <w:jc w:val="center"/>
              <w:rPr>
                <w:color w:val="auto"/>
                <w:sz w:val="21"/>
                <w:szCs w:val="21"/>
              </w:rPr>
            </w:pPr>
            <w:r>
              <w:rPr>
                <w:color w:val="auto"/>
                <w:sz w:val="21"/>
                <w:szCs w:val="21"/>
              </w:rPr>
              <w:t>SO</w:t>
            </w:r>
            <w:r>
              <w:rPr>
                <w:color w:val="auto"/>
                <w:sz w:val="21"/>
                <w:szCs w:val="21"/>
                <w:vertAlign w:val="subscript"/>
              </w:rPr>
              <w:t>2</w:t>
            </w:r>
          </w:p>
        </w:tc>
        <w:tc>
          <w:tcPr>
            <w:tcW w:w="1379" w:type="pct"/>
            <w:gridSpan w:val="2"/>
            <w:tcBorders>
              <w:left w:val="single" w:color="000000" w:sz="10" w:space="0"/>
              <w:right w:val="single" w:color="000000" w:sz="10" w:space="0"/>
            </w:tcBorders>
            <w:vAlign w:val="center"/>
          </w:tcPr>
          <w:p>
            <w:pPr>
              <w:ind w:firstLine="0" w:firstLineChars="0"/>
              <w:jc w:val="center"/>
              <w:rPr>
                <w:color w:val="auto"/>
                <w:sz w:val="21"/>
                <w:szCs w:val="21"/>
              </w:rPr>
            </w:pPr>
            <w:r>
              <w:rPr>
                <w:color w:val="auto"/>
                <w:sz w:val="21"/>
                <w:szCs w:val="21"/>
              </w:rPr>
              <w:t>NOx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jc w:val="center"/>
        </w:trPr>
        <w:tc>
          <w:tcPr>
            <w:tcW w:w="934" w:type="pct"/>
            <w:vMerge w:val="continue"/>
            <w:tcBorders>
              <w:top w:val="nil"/>
              <w:right w:val="single" w:color="000000" w:sz="10" w:space="0"/>
              <w:tl2br w:val="single" w:color="000000" w:sz="2" w:space="0"/>
            </w:tcBorders>
            <w:vAlign w:val="center"/>
          </w:tcPr>
          <w:p>
            <w:pPr>
              <w:ind w:firstLine="0" w:firstLineChars="0"/>
              <w:jc w:val="center"/>
              <w:rPr>
                <w:color w:val="auto"/>
                <w:sz w:val="21"/>
                <w:szCs w:val="21"/>
              </w:rPr>
            </w:pPr>
          </w:p>
        </w:tc>
        <w:tc>
          <w:tcPr>
            <w:tcW w:w="704" w:type="pct"/>
            <w:tcBorders>
              <w:left w:val="single" w:color="000000" w:sz="10" w:space="0"/>
              <w:right w:val="single" w:color="000000" w:sz="10" w:space="0"/>
            </w:tcBorders>
            <w:vAlign w:val="center"/>
          </w:tcPr>
          <w:p>
            <w:pPr>
              <w:ind w:firstLine="0" w:firstLineChars="0"/>
              <w:jc w:val="center"/>
              <w:rPr>
                <w:color w:val="auto"/>
                <w:sz w:val="21"/>
                <w:szCs w:val="21"/>
              </w:rPr>
            </w:pPr>
            <w:r>
              <w:rPr>
                <w:color w:val="auto"/>
                <w:sz w:val="21"/>
                <w:szCs w:val="21"/>
              </w:rPr>
              <w:t>Ci(ug/m</w:t>
            </w:r>
            <w:r>
              <w:rPr>
                <w:color w:val="auto"/>
                <w:sz w:val="21"/>
                <w:szCs w:val="21"/>
                <w:vertAlign w:val="superscript"/>
              </w:rPr>
              <w:t>3</w:t>
            </w:r>
            <w:r>
              <w:rPr>
                <w:color w:val="auto"/>
                <w:sz w:val="21"/>
                <w:szCs w:val="21"/>
              </w:rPr>
              <w:t>)</w:t>
            </w:r>
          </w:p>
        </w:tc>
        <w:tc>
          <w:tcPr>
            <w:tcW w:w="490" w:type="pct"/>
            <w:tcBorders>
              <w:left w:val="single" w:color="000000" w:sz="10" w:space="0"/>
              <w:right w:val="single" w:color="000000" w:sz="10" w:space="0"/>
            </w:tcBorders>
            <w:vAlign w:val="center"/>
          </w:tcPr>
          <w:p>
            <w:pPr>
              <w:ind w:firstLine="0" w:firstLineChars="0"/>
              <w:jc w:val="center"/>
              <w:rPr>
                <w:color w:val="auto"/>
                <w:sz w:val="21"/>
                <w:szCs w:val="21"/>
              </w:rPr>
            </w:pPr>
            <w:r>
              <w:rPr>
                <w:color w:val="auto"/>
                <w:sz w:val="21"/>
                <w:szCs w:val="21"/>
              </w:rPr>
              <w:t>Pi(%)</w:t>
            </w:r>
          </w:p>
        </w:tc>
        <w:tc>
          <w:tcPr>
            <w:tcW w:w="780" w:type="pct"/>
            <w:tcBorders>
              <w:left w:val="single" w:color="000000" w:sz="10" w:space="0"/>
              <w:right w:val="single" w:color="000000" w:sz="10" w:space="0"/>
            </w:tcBorders>
            <w:vAlign w:val="center"/>
          </w:tcPr>
          <w:p>
            <w:pPr>
              <w:ind w:firstLine="0" w:firstLineChars="0"/>
              <w:jc w:val="center"/>
              <w:rPr>
                <w:color w:val="auto"/>
                <w:sz w:val="21"/>
                <w:szCs w:val="21"/>
              </w:rPr>
            </w:pPr>
            <w:r>
              <w:rPr>
                <w:color w:val="auto"/>
                <w:sz w:val="21"/>
                <w:szCs w:val="21"/>
              </w:rPr>
              <w:t>Ci(ug/m</w:t>
            </w:r>
            <w:r>
              <w:rPr>
                <w:color w:val="auto"/>
                <w:sz w:val="21"/>
                <w:szCs w:val="21"/>
                <w:vertAlign w:val="superscript"/>
              </w:rPr>
              <w:t>3</w:t>
            </w:r>
            <w:r>
              <w:rPr>
                <w:color w:val="auto"/>
                <w:sz w:val="21"/>
                <w:szCs w:val="21"/>
              </w:rPr>
              <w:t>)</w:t>
            </w:r>
          </w:p>
        </w:tc>
        <w:tc>
          <w:tcPr>
            <w:tcW w:w="711" w:type="pct"/>
            <w:tcBorders>
              <w:left w:val="single" w:color="000000" w:sz="10" w:space="0"/>
              <w:right w:val="single" w:color="000000" w:sz="10" w:space="0"/>
            </w:tcBorders>
            <w:vAlign w:val="center"/>
          </w:tcPr>
          <w:p>
            <w:pPr>
              <w:ind w:firstLine="0" w:firstLineChars="0"/>
              <w:jc w:val="center"/>
              <w:rPr>
                <w:color w:val="auto"/>
                <w:sz w:val="21"/>
                <w:szCs w:val="21"/>
              </w:rPr>
            </w:pPr>
            <w:r>
              <w:rPr>
                <w:color w:val="auto"/>
                <w:sz w:val="21"/>
                <w:szCs w:val="21"/>
              </w:rPr>
              <w:t>Pi(%)</w:t>
            </w:r>
          </w:p>
        </w:tc>
        <w:tc>
          <w:tcPr>
            <w:tcW w:w="812" w:type="pct"/>
            <w:tcBorders>
              <w:left w:val="single" w:color="000000" w:sz="10" w:space="0"/>
              <w:right w:val="single" w:color="000000" w:sz="10" w:space="0"/>
            </w:tcBorders>
            <w:vAlign w:val="center"/>
          </w:tcPr>
          <w:p>
            <w:pPr>
              <w:ind w:firstLine="0" w:firstLineChars="0"/>
              <w:jc w:val="center"/>
              <w:rPr>
                <w:color w:val="auto"/>
                <w:sz w:val="21"/>
                <w:szCs w:val="21"/>
              </w:rPr>
            </w:pPr>
            <w:r>
              <w:rPr>
                <w:color w:val="auto"/>
                <w:sz w:val="21"/>
                <w:szCs w:val="21"/>
              </w:rPr>
              <w:t>Ci(ug/m</w:t>
            </w:r>
            <w:r>
              <w:rPr>
                <w:color w:val="auto"/>
                <w:sz w:val="21"/>
                <w:szCs w:val="21"/>
                <w:vertAlign w:val="superscript"/>
              </w:rPr>
              <w:t>3</w:t>
            </w:r>
            <w:r>
              <w:rPr>
                <w:color w:val="auto"/>
                <w:sz w:val="21"/>
                <w:szCs w:val="21"/>
              </w:rPr>
              <w:t>)</w:t>
            </w:r>
          </w:p>
        </w:tc>
        <w:tc>
          <w:tcPr>
            <w:tcW w:w="567" w:type="pct"/>
            <w:tcBorders>
              <w:left w:val="single" w:color="000000" w:sz="10" w:space="0"/>
              <w:right w:val="single" w:color="000000" w:sz="10" w:space="0"/>
            </w:tcBorders>
            <w:vAlign w:val="center"/>
          </w:tcPr>
          <w:p>
            <w:pPr>
              <w:ind w:firstLine="0" w:firstLineChars="0"/>
              <w:jc w:val="center"/>
              <w:rPr>
                <w:color w:val="auto"/>
                <w:sz w:val="21"/>
                <w:szCs w:val="21"/>
              </w:rPr>
            </w:pPr>
            <w:r>
              <w:rPr>
                <w:color w:val="auto"/>
                <w:sz w:val="21"/>
                <w:szCs w:val="21"/>
              </w:rPr>
              <w:t>Pi(%)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934" w:type="pct"/>
            <w:tcBorders>
              <w:right w:val="single" w:color="000000" w:sz="10" w:space="0"/>
            </w:tcBorders>
            <w:vAlign w:val="center"/>
          </w:tcPr>
          <w:p>
            <w:pPr>
              <w:ind w:firstLine="0" w:firstLineChars="0"/>
              <w:jc w:val="center"/>
              <w:rPr>
                <w:color w:val="auto"/>
                <w:sz w:val="21"/>
                <w:szCs w:val="21"/>
              </w:rPr>
            </w:pPr>
            <w:r>
              <w:rPr>
                <w:color w:val="auto"/>
                <w:sz w:val="21"/>
                <w:szCs w:val="21"/>
              </w:rPr>
              <w:t>25</w:t>
            </w:r>
          </w:p>
        </w:tc>
        <w:tc>
          <w:tcPr>
            <w:tcW w:w="1189"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2.10456</w:t>
            </w:r>
          </w:p>
        </w:tc>
        <w:tc>
          <w:tcPr>
            <w:tcW w:w="828"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0.468</w:t>
            </w:r>
          </w:p>
        </w:tc>
        <w:tc>
          <w:tcPr>
            <w:tcW w:w="1318"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0.33672</w:t>
            </w:r>
          </w:p>
        </w:tc>
        <w:tc>
          <w:tcPr>
            <w:tcW w:w="1201"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0.0672</w:t>
            </w:r>
          </w:p>
        </w:tc>
        <w:tc>
          <w:tcPr>
            <w:tcW w:w="1372"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1.0776</w:t>
            </w:r>
          </w:p>
        </w:tc>
        <w:tc>
          <w:tcPr>
            <w:tcW w:w="959"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2.94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934" w:type="pct"/>
            <w:tcBorders>
              <w:right w:val="single" w:color="000000" w:sz="10" w:space="0"/>
            </w:tcBorders>
            <w:vAlign w:val="center"/>
          </w:tcPr>
          <w:p>
            <w:pPr>
              <w:ind w:firstLine="0" w:firstLineChars="0"/>
              <w:jc w:val="center"/>
              <w:rPr>
                <w:color w:val="auto"/>
                <w:sz w:val="21"/>
                <w:szCs w:val="21"/>
              </w:rPr>
            </w:pPr>
            <w:r>
              <w:rPr>
                <w:color w:val="auto"/>
                <w:sz w:val="21"/>
                <w:szCs w:val="21"/>
              </w:rPr>
              <w:t>50</w:t>
            </w:r>
          </w:p>
        </w:tc>
        <w:tc>
          <w:tcPr>
            <w:tcW w:w="1189"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1.36872</w:t>
            </w:r>
          </w:p>
        </w:tc>
        <w:tc>
          <w:tcPr>
            <w:tcW w:w="828"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0.3036</w:t>
            </w:r>
          </w:p>
        </w:tc>
        <w:tc>
          <w:tcPr>
            <w:tcW w:w="1318"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0.219</w:t>
            </w:r>
          </w:p>
        </w:tc>
        <w:tc>
          <w:tcPr>
            <w:tcW w:w="1201"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0.0444</w:t>
            </w:r>
          </w:p>
        </w:tc>
        <w:tc>
          <w:tcPr>
            <w:tcW w:w="1372"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0.7008</w:t>
            </w:r>
          </w:p>
        </w:tc>
        <w:tc>
          <w:tcPr>
            <w:tcW w:w="959"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2.76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934" w:type="pct"/>
            <w:tcBorders>
              <w:right w:val="single" w:color="000000" w:sz="10" w:space="0"/>
            </w:tcBorders>
            <w:vAlign w:val="center"/>
          </w:tcPr>
          <w:p>
            <w:pPr>
              <w:ind w:firstLine="0" w:firstLineChars="0"/>
              <w:jc w:val="center"/>
              <w:rPr>
                <w:color w:val="auto"/>
                <w:sz w:val="21"/>
                <w:szCs w:val="21"/>
              </w:rPr>
            </w:pPr>
            <w:r>
              <w:rPr>
                <w:color w:val="auto"/>
                <w:sz w:val="21"/>
                <w:szCs w:val="21"/>
              </w:rPr>
              <w:t>75</w:t>
            </w:r>
          </w:p>
        </w:tc>
        <w:tc>
          <w:tcPr>
            <w:tcW w:w="1189"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1.191</w:t>
            </w:r>
          </w:p>
        </w:tc>
        <w:tc>
          <w:tcPr>
            <w:tcW w:w="828"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0.2652</w:t>
            </w:r>
          </w:p>
        </w:tc>
        <w:tc>
          <w:tcPr>
            <w:tcW w:w="1318"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0.19056</w:t>
            </w:r>
          </w:p>
        </w:tc>
        <w:tc>
          <w:tcPr>
            <w:tcW w:w="1201"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0.0384</w:t>
            </w:r>
          </w:p>
        </w:tc>
        <w:tc>
          <w:tcPr>
            <w:tcW w:w="1372"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0.6096</w:t>
            </w:r>
          </w:p>
        </w:tc>
        <w:tc>
          <w:tcPr>
            <w:tcW w:w="959"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2.892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934" w:type="pct"/>
            <w:tcBorders>
              <w:right w:val="single" w:color="000000" w:sz="10" w:space="0"/>
            </w:tcBorders>
            <w:vAlign w:val="center"/>
          </w:tcPr>
          <w:p>
            <w:pPr>
              <w:ind w:firstLine="0" w:firstLineChars="0"/>
              <w:jc w:val="center"/>
              <w:rPr>
                <w:color w:val="auto"/>
                <w:sz w:val="21"/>
                <w:szCs w:val="21"/>
              </w:rPr>
            </w:pPr>
            <w:r>
              <w:rPr>
                <w:color w:val="auto"/>
                <w:sz w:val="21"/>
                <w:szCs w:val="21"/>
              </w:rPr>
              <w:t>100</w:t>
            </w:r>
          </w:p>
        </w:tc>
        <w:tc>
          <w:tcPr>
            <w:tcW w:w="1189"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1.66356</w:t>
            </w:r>
          </w:p>
        </w:tc>
        <w:tc>
          <w:tcPr>
            <w:tcW w:w="828"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0.3696</w:t>
            </w:r>
          </w:p>
        </w:tc>
        <w:tc>
          <w:tcPr>
            <w:tcW w:w="1318"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0.26616</w:t>
            </w:r>
          </w:p>
        </w:tc>
        <w:tc>
          <w:tcPr>
            <w:tcW w:w="1201"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0.0528</w:t>
            </w:r>
          </w:p>
        </w:tc>
        <w:tc>
          <w:tcPr>
            <w:tcW w:w="1372"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0.852</w:t>
            </w:r>
          </w:p>
        </w:tc>
        <w:tc>
          <w:tcPr>
            <w:tcW w:w="959"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2.628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934" w:type="pct"/>
            <w:tcBorders>
              <w:right w:val="single" w:color="000000" w:sz="10" w:space="0"/>
            </w:tcBorders>
            <w:vAlign w:val="center"/>
          </w:tcPr>
          <w:p>
            <w:pPr>
              <w:ind w:firstLine="0" w:firstLineChars="0"/>
              <w:jc w:val="center"/>
              <w:rPr>
                <w:color w:val="auto"/>
                <w:sz w:val="21"/>
                <w:szCs w:val="21"/>
              </w:rPr>
            </w:pPr>
            <w:r>
              <w:rPr>
                <w:color w:val="auto"/>
                <w:sz w:val="21"/>
                <w:szCs w:val="21"/>
              </w:rPr>
              <w:t>125</w:t>
            </w:r>
          </w:p>
        </w:tc>
        <w:tc>
          <w:tcPr>
            <w:tcW w:w="1189"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2.25828</w:t>
            </w:r>
          </w:p>
        </w:tc>
        <w:tc>
          <w:tcPr>
            <w:tcW w:w="828"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0.5016</w:t>
            </w:r>
          </w:p>
        </w:tc>
        <w:tc>
          <w:tcPr>
            <w:tcW w:w="1318"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0.36132</w:t>
            </w:r>
          </w:p>
        </w:tc>
        <w:tc>
          <w:tcPr>
            <w:tcW w:w="1201"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0.072</w:t>
            </w:r>
          </w:p>
        </w:tc>
        <w:tc>
          <w:tcPr>
            <w:tcW w:w="1372"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1.1568</w:t>
            </w:r>
          </w:p>
        </w:tc>
        <w:tc>
          <w:tcPr>
            <w:tcW w:w="959"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2.448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934" w:type="pct"/>
            <w:tcBorders>
              <w:right w:val="single" w:color="000000" w:sz="10" w:space="0"/>
            </w:tcBorders>
            <w:vAlign w:val="center"/>
          </w:tcPr>
          <w:p>
            <w:pPr>
              <w:ind w:firstLine="0" w:firstLineChars="0"/>
              <w:jc w:val="center"/>
              <w:rPr>
                <w:color w:val="auto"/>
                <w:sz w:val="21"/>
                <w:szCs w:val="21"/>
              </w:rPr>
            </w:pPr>
            <w:r>
              <w:rPr>
                <w:color w:val="auto"/>
                <w:sz w:val="21"/>
                <w:szCs w:val="21"/>
              </w:rPr>
              <w:t>150</w:t>
            </w:r>
          </w:p>
        </w:tc>
        <w:tc>
          <w:tcPr>
            <w:tcW w:w="1189"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2.292</w:t>
            </w:r>
          </w:p>
        </w:tc>
        <w:tc>
          <w:tcPr>
            <w:tcW w:w="828"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0.5088</w:t>
            </w:r>
          </w:p>
        </w:tc>
        <w:tc>
          <w:tcPr>
            <w:tcW w:w="1318"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0.36672</w:t>
            </w:r>
          </w:p>
        </w:tc>
        <w:tc>
          <w:tcPr>
            <w:tcW w:w="1201"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0.0732</w:t>
            </w:r>
          </w:p>
        </w:tc>
        <w:tc>
          <w:tcPr>
            <w:tcW w:w="1372"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1.1736</w:t>
            </w:r>
          </w:p>
        </w:tc>
        <w:tc>
          <w:tcPr>
            <w:tcW w:w="959"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1.74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934" w:type="pct"/>
            <w:tcBorders>
              <w:right w:val="single" w:color="000000" w:sz="10" w:space="0"/>
            </w:tcBorders>
            <w:vAlign w:val="center"/>
          </w:tcPr>
          <w:p>
            <w:pPr>
              <w:ind w:firstLine="0" w:firstLineChars="0"/>
              <w:jc w:val="center"/>
              <w:rPr>
                <w:color w:val="auto"/>
                <w:sz w:val="21"/>
                <w:szCs w:val="21"/>
              </w:rPr>
            </w:pPr>
            <w:r>
              <w:rPr>
                <w:color w:val="auto"/>
                <w:sz w:val="21"/>
                <w:szCs w:val="21"/>
              </w:rPr>
              <w:t>200</w:t>
            </w:r>
          </w:p>
        </w:tc>
        <w:tc>
          <w:tcPr>
            <w:tcW w:w="1189"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2.05728</w:t>
            </w:r>
          </w:p>
        </w:tc>
        <w:tc>
          <w:tcPr>
            <w:tcW w:w="828"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0.4572</w:t>
            </w:r>
          </w:p>
        </w:tc>
        <w:tc>
          <w:tcPr>
            <w:tcW w:w="1318"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0.32916</w:t>
            </w:r>
          </w:p>
        </w:tc>
        <w:tc>
          <w:tcPr>
            <w:tcW w:w="1201"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0.066</w:t>
            </w:r>
          </w:p>
        </w:tc>
        <w:tc>
          <w:tcPr>
            <w:tcW w:w="1372"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1.0536</w:t>
            </w:r>
          </w:p>
        </w:tc>
        <w:tc>
          <w:tcPr>
            <w:tcW w:w="959"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1.452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934" w:type="pct"/>
            <w:tcBorders>
              <w:right w:val="single" w:color="000000" w:sz="10" w:space="0"/>
            </w:tcBorders>
            <w:vAlign w:val="center"/>
          </w:tcPr>
          <w:p>
            <w:pPr>
              <w:ind w:firstLine="0" w:firstLineChars="0"/>
              <w:jc w:val="center"/>
              <w:rPr>
                <w:color w:val="auto"/>
                <w:sz w:val="21"/>
                <w:szCs w:val="21"/>
              </w:rPr>
            </w:pPr>
            <w:r>
              <w:rPr>
                <w:color w:val="auto"/>
                <w:sz w:val="21"/>
                <w:szCs w:val="21"/>
              </w:rPr>
              <w:t>300</w:t>
            </w:r>
          </w:p>
        </w:tc>
        <w:tc>
          <w:tcPr>
            <w:tcW w:w="1189"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1.51572</w:t>
            </w:r>
          </w:p>
        </w:tc>
        <w:tc>
          <w:tcPr>
            <w:tcW w:w="828"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0.3372</w:t>
            </w:r>
          </w:p>
        </w:tc>
        <w:tc>
          <w:tcPr>
            <w:tcW w:w="1318"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0.24252</w:t>
            </w:r>
          </w:p>
        </w:tc>
        <w:tc>
          <w:tcPr>
            <w:tcW w:w="1201"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0.048</w:t>
            </w:r>
          </w:p>
        </w:tc>
        <w:tc>
          <w:tcPr>
            <w:tcW w:w="1372"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0.7764</w:t>
            </w:r>
          </w:p>
        </w:tc>
        <w:tc>
          <w:tcPr>
            <w:tcW w:w="959"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1.224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934" w:type="pct"/>
            <w:tcBorders>
              <w:right w:val="single" w:color="000000" w:sz="10" w:space="0"/>
            </w:tcBorders>
            <w:vAlign w:val="center"/>
          </w:tcPr>
          <w:p>
            <w:pPr>
              <w:ind w:firstLine="0" w:firstLineChars="0"/>
              <w:jc w:val="center"/>
              <w:rPr>
                <w:color w:val="auto"/>
                <w:sz w:val="21"/>
                <w:szCs w:val="21"/>
              </w:rPr>
            </w:pPr>
            <w:r>
              <w:rPr>
                <w:color w:val="auto"/>
                <w:sz w:val="21"/>
                <w:szCs w:val="21"/>
              </w:rPr>
              <w:t>500</w:t>
            </w:r>
          </w:p>
        </w:tc>
        <w:tc>
          <w:tcPr>
            <w:tcW w:w="1189"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0.894</w:t>
            </w:r>
          </w:p>
        </w:tc>
        <w:tc>
          <w:tcPr>
            <w:tcW w:w="828"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0.1992</w:t>
            </w:r>
          </w:p>
        </w:tc>
        <w:tc>
          <w:tcPr>
            <w:tcW w:w="1318"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0.14304</w:t>
            </w:r>
          </w:p>
        </w:tc>
        <w:tc>
          <w:tcPr>
            <w:tcW w:w="1201"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0.0288</w:t>
            </w:r>
          </w:p>
        </w:tc>
        <w:tc>
          <w:tcPr>
            <w:tcW w:w="1372"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0.4572</w:t>
            </w:r>
          </w:p>
        </w:tc>
        <w:tc>
          <w:tcPr>
            <w:tcW w:w="959"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1.044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934" w:type="pct"/>
            <w:tcBorders>
              <w:right w:val="single" w:color="000000" w:sz="10" w:space="0"/>
            </w:tcBorders>
            <w:vAlign w:val="center"/>
          </w:tcPr>
          <w:p>
            <w:pPr>
              <w:ind w:firstLine="0" w:firstLineChars="0"/>
              <w:jc w:val="center"/>
              <w:rPr>
                <w:color w:val="auto"/>
                <w:sz w:val="21"/>
                <w:szCs w:val="21"/>
              </w:rPr>
            </w:pPr>
            <w:r>
              <w:rPr>
                <w:color w:val="auto"/>
                <w:sz w:val="21"/>
                <w:szCs w:val="21"/>
              </w:rPr>
              <w:t>800</w:t>
            </w:r>
          </w:p>
        </w:tc>
        <w:tc>
          <w:tcPr>
            <w:tcW w:w="1189"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0.51</w:t>
            </w:r>
          </w:p>
        </w:tc>
        <w:tc>
          <w:tcPr>
            <w:tcW w:w="828"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0.1128</w:t>
            </w:r>
          </w:p>
        </w:tc>
        <w:tc>
          <w:tcPr>
            <w:tcW w:w="1318"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0.0816</w:t>
            </w:r>
          </w:p>
        </w:tc>
        <w:tc>
          <w:tcPr>
            <w:tcW w:w="1201"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0.0168</w:t>
            </w:r>
          </w:p>
        </w:tc>
        <w:tc>
          <w:tcPr>
            <w:tcW w:w="1372"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0.2616</w:t>
            </w:r>
          </w:p>
        </w:tc>
        <w:tc>
          <w:tcPr>
            <w:tcW w:w="959"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1.008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934" w:type="pct"/>
            <w:tcBorders>
              <w:right w:val="single" w:color="000000" w:sz="10" w:space="0"/>
            </w:tcBorders>
            <w:vAlign w:val="center"/>
          </w:tcPr>
          <w:p>
            <w:pPr>
              <w:ind w:firstLine="0" w:firstLineChars="0"/>
              <w:jc w:val="center"/>
              <w:rPr>
                <w:color w:val="auto"/>
                <w:sz w:val="21"/>
                <w:szCs w:val="21"/>
              </w:rPr>
            </w:pPr>
            <w:r>
              <w:rPr>
                <w:color w:val="auto"/>
                <w:sz w:val="21"/>
                <w:szCs w:val="21"/>
              </w:rPr>
              <w:t>1000</w:t>
            </w:r>
          </w:p>
        </w:tc>
        <w:tc>
          <w:tcPr>
            <w:tcW w:w="1189"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0.38556</w:t>
            </w:r>
          </w:p>
        </w:tc>
        <w:tc>
          <w:tcPr>
            <w:tcW w:w="828"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0.0852</w:t>
            </w:r>
          </w:p>
        </w:tc>
        <w:tc>
          <w:tcPr>
            <w:tcW w:w="1318"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0.06168</w:t>
            </w:r>
          </w:p>
        </w:tc>
        <w:tc>
          <w:tcPr>
            <w:tcW w:w="1201"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0.012</w:t>
            </w:r>
          </w:p>
        </w:tc>
        <w:tc>
          <w:tcPr>
            <w:tcW w:w="1372"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0.1968</w:t>
            </w:r>
          </w:p>
        </w:tc>
        <w:tc>
          <w:tcPr>
            <w:tcW w:w="959"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1.032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934" w:type="pct"/>
            <w:tcBorders>
              <w:right w:val="single" w:color="000000" w:sz="10" w:space="0"/>
            </w:tcBorders>
            <w:vAlign w:val="center"/>
          </w:tcPr>
          <w:p>
            <w:pPr>
              <w:ind w:firstLine="0" w:firstLineChars="0"/>
              <w:jc w:val="center"/>
              <w:rPr>
                <w:color w:val="auto"/>
                <w:sz w:val="21"/>
                <w:szCs w:val="21"/>
              </w:rPr>
            </w:pPr>
            <w:r>
              <w:rPr>
                <w:color w:val="auto"/>
                <w:sz w:val="21"/>
                <w:szCs w:val="21"/>
              </w:rPr>
              <w:t>1300</w:t>
            </w:r>
          </w:p>
        </w:tc>
        <w:tc>
          <w:tcPr>
            <w:tcW w:w="1189"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0.27528</w:t>
            </w:r>
          </w:p>
        </w:tc>
        <w:tc>
          <w:tcPr>
            <w:tcW w:w="828"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0.0612</w:t>
            </w:r>
          </w:p>
        </w:tc>
        <w:tc>
          <w:tcPr>
            <w:tcW w:w="1318"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0.04404</w:t>
            </w:r>
          </w:p>
        </w:tc>
        <w:tc>
          <w:tcPr>
            <w:tcW w:w="1201"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0.0084</w:t>
            </w:r>
          </w:p>
        </w:tc>
        <w:tc>
          <w:tcPr>
            <w:tcW w:w="1372"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0.1404</w:t>
            </w:r>
          </w:p>
        </w:tc>
        <w:tc>
          <w:tcPr>
            <w:tcW w:w="959"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1.032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934" w:type="pct"/>
            <w:tcBorders>
              <w:right w:val="single" w:color="000000" w:sz="10" w:space="0"/>
            </w:tcBorders>
            <w:vAlign w:val="center"/>
          </w:tcPr>
          <w:p>
            <w:pPr>
              <w:ind w:firstLine="0" w:firstLineChars="0"/>
              <w:jc w:val="center"/>
              <w:rPr>
                <w:color w:val="auto"/>
                <w:sz w:val="21"/>
                <w:szCs w:val="21"/>
              </w:rPr>
            </w:pPr>
            <w:r>
              <w:rPr>
                <w:color w:val="auto"/>
                <w:sz w:val="21"/>
                <w:szCs w:val="21"/>
              </w:rPr>
              <w:t>1600</w:t>
            </w:r>
          </w:p>
        </w:tc>
        <w:tc>
          <w:tcPr>
            <w:tcW w:w="1189"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0.21</w:t>
            </w:r>
          </w:p>
        </w:tc>
        <w:tc>
          <w:tcPr>
            <w:tcW w:w="828"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0.0468</w:t>
            </w:r>
          </w:p>
        </w:tc>
        <w:tc>
          <w:tcPr>
            <w:tcW w:w="1318"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0.0336</w:t>
            </w:r>
          </w:p>
        </w:tc>
        <w:tc>
          <w:tcPr>
            <w:tcW w:w="1201"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0.0072</w:t>
            </w:r>
          </w:p>
        </w:tc>
        <w:tc>
          <w:tcPr>
            <w:tcW w:w="1372"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0.108</w:t>
            </w:r>
          </w:p>
        </w:tc>
        <w:tc>
          <w:tcPr>
            <w:tcW w:w="959"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1.02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934" w:type="pct"/>
            <w:tcBorders>
              <w:right w:val="single" w:color="000000" w:sz="10" w:space="0"/>
            </w:tcBorders>
            <w:vAlign w:val="center"/>
          </w:tcPr>
          <w:p>
            <w:pPr>
              <w:ind w:firstLine="0" w:firstLineChars="0"/>
              <w:jc w:val="center"/>
              <w:rPr>
                <w:color w:val="auto"/>
                <w:sz w:val="21"/>
                <w:szCs w:val="21"/>
              </w:rPr>
            </w:pPr>
            <w:r>
              <w:rPr>
                <w:color w:val="auto"/>
                <w:sz w:val="21"/>
                <w:szCs w:val="21"/>
              </w:rPr>
              <w:t>1800</w:t>
            </w:r>
          </w:p>
        </w:tc>
        <w:tc>
          <w:tcPr>
            <w:tcW w:w="1189"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0.18</w:t>
            </w:r>
          </w:p>
        </w:tc>
        <w:tc>
          <w:tcPr>
            <w:tcW w:w="828"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0.0396</w:t>
            </w:r>
          </w:p>
        </w:tc>
        <w:tc>
          <w:tcPr>
            <w:tcW w:w="1318"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0.0288</w:t>
            </w:r>
          </w:p>
        </w:tc>
        <w:tc>
          <w:tcPr>
            <w:tcW w:w="1201"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0.006</w:t>
            </w:r>
          </w:p>
        </w:tc>
        <w:tc>
          <w:tcPr>
            <w:tcW w:w="1372"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0.0924</w:t>
            </w:r>
          </w:p>
        </w:tc>
        <w:tc>
          <w:tcPr>
            <w:tcW w:w="959"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1.008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934" w:type="pct"/>
            <w:tcBorders>
              <w:right w:val="single" w:color="000000" w:sz="10" w:space="0"/>
            </w:tcBorders>
            <w:vAlign w:val="center"/>
          </w:tcPr>
          <w:p>
            <w:pPr>
              <w:ind w:firstLine="0" w:firstLineChars="0"/>
              <w:jc w:val="center"/>
              <w:rPr>
                <w:color w:val="auto"/>
                <w:sz w:val="21"/>
                <w:szCs w:val="21"/>
              </w:rPr>
            </w:pPr>
            <w:r>
              <w:rPr>
                <w:color w:val="auto"/>
                <w:sz w:val="21"/>
                <w:szCs w:val="21"/>
              </w:rPr>
              <w:t>2000</w:t>
            </w:r>
          </w:p>
        </w:tc>
        <w:tc>
          <w:tcPr>
            <w:tcW w:w="1189"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0.156</w:t>
            </w:r>
          </w:p>
        </w:tc>
        <w:tc>
          <w:tcPr>
            <w:tcW w:w="828"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0.0348</w:t>
            </w:r>
          </w:p>
        </w:tc>
        <w:tc>
          <w:tcPr>
            <w:tcW w:w="1318"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0.02496</w:t>
            </w:r>
          </w:p>
        </w:tc>
        <w:tc>
          <w:tcPr>
            <w:tcW w:w="1201"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0.0048</w:t>
            </w:r>
          </w:p>
        </w:tc>
        <w:tc>
          <w:tcPr>
            <w:tcW w:w="1372"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0.0804</w:t>
            </w:r>
          </w:p>
        </w:tc>
        <w:tc>
          <w:tcPr>
            <w:tcW w:w="959"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0.984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934" w:type="pct"/>
            <w:tcBorders>
              <w:right w:val="single" w:color="000000" w:sz="10" w:space="0"/>
            </w:tcBorders>
            <w:vAlign w:val="center"/>
          </w:tcPr>
          <w:p>
            <w:pPr>
              <w:ind w:firstLine="0" w:firstLineChars="0"/>
              <w:jc w:val="center"/>
              <w:rPr>
                <w:color w:val="auto"/>
                <w:sz w:val="21"/>
                <w:szCs w:val="21"/>
              </w:rPr>
            </w:pPr>
            <w:r>
              <w:rPr>
                <w:color w:val="auto"/>
                <w:sz w:val="21"/>
                <w:szCs w:val="21"/>
              </w:rPr>
              <w:t>2300</w:t>
            </w:r>
          </w:p>
        </w:tc>
        <w:tc>
          <w:tcPr>
            <w:tcW w:w="1189"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0.126</w:t>
            </w:r>
          </w:p>
        </w:tc>
        <w:tc>
          <w:tcPr>
            <w:tcW w:w="828"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0.0276</w:t>
            </w:r>
          </w:p>
        </w:tc>
        <w:tc>
          <w:tcPr>
            <w:tcW w:w="1318"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0.02016</w:t>
            </w:r>
          </w:p>
        </w:tc>
        <w:tc>
          <w:tcPr>
            <w:tcW w:w="1201"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0.0036</w:t>
            </w:r>
          </w:p>
        </w:tc>
        <w:tc>
          <w:tcPr>
            <w:tcW w:w="1372"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0.0648</w:t>
            </w:r>
          </w:p>
        </w:tc>
        <w:tc>
          <w:tcPr>
            <w:tcW w:w="959"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934" w:type="pct"/>
            <w:tcBorders>
              <w:right w:val="single" w:color="000000" w:sz="10" w:space="0"/>
            </w:tcBorders>
            <w:vAlign w:val="center"/>
          </w:tcPr>
          <w:p>
            <w:pPr>
              <w:ind w:firstLine="0" w:firstLineChars="0"/>
              <w:jc w:val="center"/>
              <w:rPr>
                <w:color w:val="auto"/>
                <w:sz w:val="21"/>
                <w:szCs w:val="21"/>
              </w:rPr>
            </w:pPr>
            <w:r>
              <w:rPr>
                <w:color w:val="auto"/>
                <w:sz w:val="21"/>
                <w:szCs w:val="21"/>
              </w:rPr>
              <w:t>2500</w:t>
            </w:r>
          </w:p>
        </w:tc>
        <w:tc>
          <w:tcPr>
            <w:tcW w:w="1189"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0.12252</w:t>
            </w:r>
          </w:p>
        </w:tc>
        <w:tc>
          <w:tcPr>
            <w:tcW w:w="828"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0.0276</w:t>
            </w:r>
          </w:p>
        </w:tc>
        <w:tc>
          <w:tcPr>
            <w:tcW w:w="1318"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0.01848</w:t>
            </w:r>
          </w:p>
        </w:tc>
        <w:tc>
          <w:tcPr>
            <w:tcW w:w="1201"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0.0036</w:t>
            </w:r>
          </w:p>
        </w:tc>
        <w:tc>
          <w:tcPr>
            <w:tcW w:w="1372"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0.0588</w:t>
            </w:r>
          </w:p>
        </w:tc>
        <w:tc>
          <w:tcPr>
            <w:tcW w:w="959"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0.924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934" w:type="pct"/>
            <w:tcBorders>
              <w:right w:val="single" w:color="000000" w:sz="10" w:space="0"/>
            </w:tcBorders>
            <w:vAlign w:val="center"/>
          </w:tcPr>
          <w:p>
            <w:pPr>
              <w:ind w:firstLine="0" w:firstLineChars="0"/>
              <w:jc w:val="center"/>
              <w:rPr>
                <w:color w:val="auto"/>
                <w:sz w:val="21"/>
                <w:szCs w:val="21"/>
              </w:rPr>
            </w:pPr>
            <w:r>
              <w:rPr>
                <w:color w:val="auto"/>
                <w:sz w:val="21"/>
                <w:szCs w:val="21"/>
              </w:rPr>
              <w:t>最大落地浓度</w:t>
            </w:r>
          </w:p>
        </w:tc>
        <w:tc>
          <w:tcPr>
            <w:tcW w:w="1189"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2.31</w:t>
            </w:r>
          </w:p>
        </w:tc>
        <w:tc>
          <w:tcPr>
            <w:tcW w:w="828"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0.5136</w:t>
            </w:r>
          </w:p>
        </w:tc>
        <w:tc>
          <w:tcPr>
            <w:tcW w:w="1318"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0.3696</w:t>
            </w:r>
          </w:p>
        </w:tc>
        <w:tc>
          <w:tcPr>
            <w:tcW w:w="1201"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0.0744</w:t>
            </w:r>
          </w:p>
        </w:tc>
        <w:tc>
          <w:tcPr>
            <w:tcW w:w="1372"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1.1832</w:t>
            </w:r>
          </w:p>
        </w:tc>
        <w:tc>
          <w:tcPr>
            <w:tcW w:w="959"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2.988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934" w:type="pct"/>
            <w:tcBorders>
              <w:left w:val="single" w:color="000000" w:sz="2" w:space="0"/>
              <w:bottom w:val="single" w:color="000000" w:sz="2" w:space="0"/>
            </w:tcBorders>
            <w:vAlign w:val="center"/>
          </w:tcPr>
          <w:p>
            <w:pPr>
              <w:ind w:firstLine="0" w:firstLineChars="0"/>
              <w:jc w:val="center"/>
              <w:rPr>
                <w:color w:val="auto"/>
                <w:sz w:val="21"/>
                <w:szCs w:val="21"/>
              </w:rPr>
            </w:pPr>
            <w:r>
              <w:rPr>
                <w:color w:val="auto"/>
                <w:sz w:val="21"/>
                <w:szCs w:val="21"/>
              </w:rPr>
              <w:t>出现距离/m</w:t>
            </w:r>
          </w:p>
        </w:tc>
        <w:tc>
          <w:tcPr>
            <w:tcW w:w="4065" w:type="pct"/>
            <w:gridSpan w:val="6"/>
            <w:tcBorders>
              <w:bottom w:val="single" w:color="000000" w:sz="2" w:space="0"/>
            </w:tcBorders>
            <w:vAlign w:val="center"/>
          </w:tcPr>
          <w:p>
            <w:pPr>
              <w:widowControl/>
              <w:ind w:firstLine="0" w:firstLineChars="0"/>
              <w:jc w:val="center"/>
              <w:textAlignment w:val="center"/>
              <w:rPr>
                <w:color w:val="auto"/>
                <w:sz w:val="21"/>
                <w:szCs w:val="21"/>
              </w:rPr>
            </w:pPr>
            <w:r>
              <w:rPr>
                <w:rFonts w:hint="eastAsia"/>
                <w:color w:val="auto"/>
                <w:sz w:val="21"/>
                <w:szCs w:val="21"/>
              </w:rPr>
              <w:t>143</w:t>
            </w:r>
          </w:p>
        </w:tc>
      </w:tr>
    </w:tbl>
    <w:p>
      <w:pPr>
        <w:pStyle w:val="2"/>
        <w:ind w:firstLine="480"/>
        <w:rPr>
          <w:color w:val="auto"/>
          <w:sz w:val="24"/>
        </w:rPr>
      </w:pPr>
    </w:p>
    <w:p>
      <w:pPr>
        <w:pStyle w:val="2"/>
        <w:ind w:firstLine="482"/>
        <w:rPr>
          <w:b/>
          <w:bCs/>
          <w:color w:val="auto"/>
          <w:sz w:val="24"/>
        </w:rPr>
        <w:sectPr>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b/>
          <w:bCs/>
          <w:color w:val="auto"/>
          <w:sz w:val="24"/>
        </w:rPr>
        <w:t>（2）烘干、沥青加热拌合废气预测结果</w:t>
      </w:r>
    </w:p>
    <w:p>
      <w:pPr>
        <w:pStyle w:val="2"/>
        <w:spacing w:after="0"/>
        <w:ind w:firstLine="482"/>
        <w:jc w:val="center"/>
        <w:rPr>
          <w:b/>
          <w:bCs/>
          <w:color w:val="auto"/>
          <w:sz w:val="24"/>
        </w:rPr>
      </w:pPr>
      <w:r>
        <w:rPr>
          <w:rFonts w:hint="eastAsia"/>
          <w:b/>
          <w:bCs/>
          <w:color w:val="auto"/>
          <w:sz w:val="24"/>
        </w:rPr>
        <w:t>表5-7  烘干、沥青加热拌合废气预测结果</w:t>
      </w:r>
    </w:p>
    <w:tbl>
      <w:tblPr>
        <w:tblStyle w:val="61"/>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158"/>
        <w:gridCol w:w="1437"/>
        <w:gridCol w:w="1126"/>
        <w:gridCol w:w="117"/>
        <w:gridCol w:w="1537"/>
        <w:gridCol w:w="908"/>
        <w:gridCol w:w="444"/>
        <w:gridCol w:w="1719"/>
        <w:gridCol w:w="397"/>
        <w:gridCol w:w="1020"/>
        <w:gridCol w:w="1540"/>
        <w:gridCol w:w="96"/>
        <w:gridCol w:w="14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jc w:val="center"/>
        </w:trPr>
        <w:tc>
          <w:tcPr>
            <w:tcW w:w="772" w:type="pct"/>
            <w:vMerge w:val="restart"/>
            <w:tcBorders>
              <w:top w:val="single" w:color="000000" w:sz="2" w:space="0"/>
              <w:bottom w:val="nil"/>
              <w:right w:val="single" w:color="000000" w:sz="10" w:space="0"/>
              <w:tl2br w:val="single" w:color="000000" w:sz="2" w:space="0"/>
            </w:tcBorders>
            <w:vAlign w:val="center"/>
          </w:tcPr>
          <w:p>
            <w:pPr>
              <w:ind w:firstLine="0" w:firstLineChars="0"/>
              <w:jc w:val="both"/>
              <w:rPr>
                <w:color w:val="auto"/>
                <w:sz w:val="21"/>
                <w:szCs w:val="21"/>
              </w:rPr>
            </w:pPr>
            <w:r>
              <w:rPr>
                <w:rFonts w:hint="eastAsia"/>
                <w:color w:val="auto"/>
                <w:sz w:val="21"/>
                <w:szCs w:val="21"/>
              </w:rPr>
              <w:t xml:space="preserve"> </w:t>
            </w:r>
            <w:r>
              <w:rPr>
                <w:rFonts w:hint="eastAsia"/>
                <w:color w:val="auto"/>
                <w:sz w:val="21"/>
                <w:szCs w:val="21"/>
                <w:lang w:val="en-US" w:eastAsia="zh-CN"/>
              </w:rPr>
              <w:t xml:space="preserve">       </w:t>
            </w:r>
            <w:r>
              <w:rPr>
                <w:color w:val="auto"/>
                <w:sz w:val="21"/>
                <w:szCs w:val="21"/>
              </w:rPr>
              <w:t>污染物</w:t>
            </w:r>
          </w:p>
          <w:p>
            <w:pPr>
              <w:ind w:firstLine="0" w:firstLineChars="0"/>
              <w:rPr>
                <w:color w:val="auto"/>
                <w:sz w:val="21"/>
                <w:szCs w:val="21"/>
              </w:rPr>
            </w:pPr>
            <w:r>
              <w:rPr>
                <w:color w:val="auto"/>
                <w:sz w:val="21"/>
                <w:szCs w:val="21"/>
              </w:rPr>
              <w:t>距源中心风向</w:t>
            </w:r>
          </w:p>
          <w:p>
            <w:pPr>
              <w:ind w:firstLine="0" w:firstLineChars="0"/>
              <w:rPr>
                <w:color w:val="auto"/>
                <w:sz w:val="21"/>
                <w:szCs w:val="21"/>
              </w:rPr>
            </w:pPr>
            <w:r>
              <w:rPr>
                <w:color w:val="auto"/>
                <w:sz w:val="21"/>
                <w:szCs w:val="21"/>
              </w:rPr>
              <w:t>距离 D(m)</w:t>
            </w:r>
          </w:p>
        </w:tc>
        <w:tc>
          <w:tcPr>
            <w:tcW w:w="4227" w:type="pct"/>
            <w:gridSpan w:val="12"/>
            <w:tcBorders>
              <w:top w:val="single" w:color="000000" w:sz="2" w:space="0"/>
              <w:bottom w:val="single" w:color="000000" w:sz="2" w:space="0"/>
              <w:right w:val="single" w:color="000000" w:sz="10" w:space="0"/>
            </w:tcBorders>
            <w:vAlign w:val="center"/>
          </w:tcPr>
          <w:p>
            <w:pPr>
              <w:ind w:firstLine="0" w:firstLineChars="0"/>
              <w:jc w:val="center"/>
              <w:rPr>
                <w:rFonts w:ascii="Times New Roman" w:hAnsi="Times New Roman" w:eastAsia="宋体" w:cs="Times New Roman"/>
                <w:color w:val="auto"/>
                <w:kern w:val="2"/>
                <w:sz w:val="21"/>
                <w:szCs w:val="21"/>
                <w:lang w:val="en-US" w:eastAsia="zh-CN" w:bidi="ar-SA"/>
              </w:rPr>
            </w:pPr>
            <w:r>
              <w:rPr>
                <w:rFonts w:hint="eastAsia"/>
                <w:b w:val="0"/>
                <w:bCs w:val="0"/>
                <w:color w:val="auto"/>
                <w:sz w:val="21"/>
                <w:szCs w:val="21"/>
              </w:rPr>
              <w:t>烘干、沥青加热拌合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72" w:type="pct"/>
            <w:vMerge w:val="continue"/>
            <w:tcBorders>
              <w:top w:val="nil"/>
              <w:bottom w:val="nil"/>
              <w:right w:val="single" w:color="000000" w:sz="2" w:space="0"/>
              <w:tl2br w:val="single" w:color="000000" w:sz="2" w:space="0"/>
            </w:tcBorders>
            <w:vAlign w:val="center"/>
          </w:tcPr>
          <w:p>
            <w:pPr>
              <w:ind w:firstLine="0" w:firstLineChars="0"/>
              <w:jc w:val="center"/>
              <w:rPr>
                <w:color w:val="auto"/>
                <w:sz w:val="21"/>
                <w:szCs w:val="21"/>
              </w:rPr>
            </w:pPr>
          </w:p>
        </w:tc>
        <w:tc>
          <w:tcPr>
            <w:tcW w:w="959" w:type="pct"/>
            <w:gridSpan w:val="3"/>
            <w:tcBorders>
              <w:top w:val="single" w:color="000000" w:sz="2" w:space="0"/>
              <w:left w:val="single" w:color="000000" w:sz="2" w:space="0"/>
              <w:bottom w:val="single" w:color="000000" w:sz="2" w:space="0"/>
              <w:right w:val="single" w:color="000000" w:sz="2" w:space="0"/>
            </w:tcBorders>
            <w:vAlign w:val="center"/>
          </w:tcPr>
          <w:p>
            <w:pPr>
              <w:ind w:firstLine="0" w:firstLineChars="0"/>
              <w:jc w:val="center"/>
              <w:rPr>
                <w:color w:val="auto"/>
                <w:sz w:val="21"/>
                <w:szCs w:val="21"/>
              </w:rPr>
            </w:pPr>
            <w:r>
              <w:rPr>
                <w:color w:val="auto"/>
                <w:sz w:val="21"/>
                <w:szCs w:val="21"/>
              </w:rPr>
              <w:t>PM</w:t>
            </w:r>
            <w:r>
              <w:rPr>
                <w:color w:val="auto"/>
                <w:sz w:val="21"/>
                <w:szCs w:val="21"/>
                <w:vertAlign w:val="subscript"/>
              </w:rPr>
              <w:t>10</w:t>
            </w:r>
          </w:p>
        </w:tc>
        <w:tc>
          <w:tcPr>
            <w:tcW w:w="1034" w:type="pct"/>
            <w:gridSpan w:val="3"/>
            <w:tcBorders>
              <w:top w:val="single" w:color="000000" w:sz="2" w:space="0"/>
              <w:left w:val="single" w:color="000000" w:sz="2" w:space="0"/>
              <w:bottom w:val="single" w:color="000000" w:sz="2" w:space="0"/>
              <w:right w:val="single" w:color="000000" w:sz="2" w:space="0"/>
            </w:tcBorders>
            <w:vAlign w:val="center"/>
          </w:tcPr>
          <w:p>
            <w:pPr>
              <w:ind w:firstLine="0" w:firstLineChars="0"/>
              <w:jc w:val="center"/>
              <w:rPr>
                <w:color w:val="auto"/>
                <w:sz w:val="21"/>
                <w:szCs w:val="21"/>
              </w:rPr>
            </w:pPr>
            <w:r>
              <w:rPr>
                <w:color w:val="auto"/>
                <w:sz w:val="21"/>
                <w:szCs w:val="21"/>
              </w:rPr>
              <w:t>SO</w:t>
            </w:r>
            <w:r>
              <w:rPr>
                <w:color w:val="auto"/>
                <w:sz w:val="21"/>
                <w:szCs w:val="21"/>
                <w:vertAlign w:val="subscript"/>
              </w:rPr>
              <w:t>2</w:t>
            </w:r>
          </w:p>
        </w:tc>
        <w:tc>
          <w:tcPr>
            <w:tcW w:w="1122" w:type="pct"/>
            <w:gridSpan w:val="3"/>
            <w:tcBorders>
              <w:top w:val="single" w:color="000000" w:sz="2" w:space="0"/>
              <w:left w:val="single" w:color="000000" w:sz="2" w:space="0"/>
              <w:bottom w:val="single" w:color="000000" w:sz="2" w:space="0"/>
              <w:right w:val="single" w:color="000000" w:sz="2" w:space="0"/>
            </w:tcBorders>
            <w:vAlign w:val="center"/>
          </w:tcPr>
          <w:p>
            <w:pPr>
              <w:ind w:firstLine="0" w:firstLineChars="0"/>
              <w:jc w:val="center"/>
              <w:rPr>
                <w:color w:val="auto"/>
                <w:sz w:val="21"/>
                <w:szCs w:val="21"/>
              </w:rPr>
            </w:pPr>
            <w:r>
              <w:rPr>
                <w:color w:val="auto"/>
                <w:sz w:val="21"/>
                <w:szCs w:val="21"/>
              </w:rPr>
              <w:t>NOx</w:t>
            </w:r>
          </w:p>
        </w:tc>
        <w:tc>
          <w:tcPr>
            <w:tcW w:w="1112" w:type="pct"/>
            <w:gridSpan w:val="3"/>
            <w:tcBorders>
              <w:top w:val="single" w:color="000000" w:sz="2" w:space="0"/>
              <w:left w:val="single" w:color="000000" w:sz="2" w:space="0"/>
              <w:bottom w:val="single" w:color="000000" w:sz="2" w:space="0"/>
              <w:right w:val="single" w:color="000000" w:sz="2" w:space="0"/>
            </w:tcBorders>
            <w:vAlign w:val="center"/>
          </w:tcPr>
          <w:p>
            <w:pPr>
              <w:ind w:firstLine="0" w:firstLineChars="0"/>
              <w:jc w:val="center"/>
              <w:rPr>
                <w:color w:val="auto"/>
                <w:sz w:val="21"/>
                <w:szCs w:val="21"/>
              </w:rPr>
            </w:pPr>
            <w:r>
              <w:rPr>
                <w:rFonts w:hint="eastAsia"/>
                <w:color w:val="auto"/>
                <w:sz w:val="21"/>
                <w:szCs w:val="21"/>
              </w:rPr>
              <w:t>苯并[a]芘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 w:hRule="atLeast"/>
          <w:jc w:val="center"/>
        </w:trPr>
        <w:tc>
          <w:tcPr>
            <w:tcW w:w="772" w:type="pct"/>
            <w:vMerge w:val="continue"/>
            <w:tcBorders>
              <w:top w:val="nil"/>
              <w:right w:val="single" w:color="000000" w:sz="10" w:space="0"/>
              <w:tl2br w:val="single" w:color="000000" w:sz="2" w:space="0"/>
            </w:tcBorders>
            <w:vAlign w:val="center"/>
          </w:tcPr>
          <w:p>
            <w:pPr>
              <w:ind w:firstLine="0" w:firstLineChars="0"/>
              <w:jc w:val="center"/>
              <w:rPr>
                <w:color w:val="auto"/>
                <w:sz w:val="21"/>
                <w:szCs w:val="21"/>
              </w:rPr>
            </w:pPr>
          </w:p>
        </w:tc>
        <w:tc>
          <w:tcPr>
            <w:tcW w:w="514" w:type="pct"/>
            <w:tcBorders>
              <w:top w:val="single" w:color="000000" w:sz="2" w:space="0"/>
              <w:left w:val="single" w:color="000000" w:sz="10" w:space="0"/>
              <w:right w:val="single" w:color="000000" w:sz="10" w:space="0"/>
            </w:tcBorders>
            <w:vAlign w:val="center"/>
          </w:tcPr>
          <w:p>
            <w:pPr>
              <w:ind w:firstLine="0" w:firstLineChars="0"/>
              <w:jc w:val="center"/>
              <w:rPr>
                <w:color w:val="auto"/>
                <w:sz w:val="21"/>
                <w:szCs w:val="21"/>
              </w:rPr>
            </w:pPr>
            <w:r>
              <w:rPr>
                <w:color w:val="auto"/>
                <w:sz w:val="21"/>
                <w:szCs w:val="21"/>
              </w:rPr>
              <w:t>Ci(ug/m</w:t>
            </w:r>
            <w:r>
              <w:rPr>
                <w:color w:val="auto"/>
                <w:sz w:val="21"/>
                <w:szCs w:val="21"/>
                <w:vertAlign w:val="superscript"/>
              </w:rPr>
              <w:t>3</w:t>
            </w:r>
            <w:r>
              <w:rPr>
                <w:color w:val="auto"/>
                <w:sz w:val="21"/>
                <w:szCs w:val="21"/>
              </w:rPr>
              <w:t>)</w:t>
            </w:r>
          </w:p>
        </w:tc>
        <w:tc>
          <w:tcPr>
            <w:tcW w:w="444" w:type="pct"/>
            <w:gridSpan w:val="2"/>
            <w:tcBorders>
              <w:top w:val="single" w:color="000000" w:sz="2" w:space="0"/>
              <w:left w:val="single" w:color="000000" w:sz="10" w:space="0"/>
              <w:right w:val="single" w:color="000000" w:sz="10" w:space="0"/>
            </w:tcBorders>
            <w:vAlign w:val="center"/>
          </w:tcPr>
          <w:p>
            <w:pPr>
              <w:ind w:firstLine="0" w:firstLineChars="0"/>
              <w:jc w:val="center"/>
              <w:rPr>
                <w:color w:val="auto"/>
                <w:sz w:val="21"/>
                <w:szCs w:val="21"/>
              </w:rPr>
            </w:pPr>
            <w:r>
              <w:rPr>
                <w:color w:val="auto"/>
                <w:sz w:val="21"/>
                <w:szCs w:val="21"/>
              </w:rPr>
              <w:t>Pi(%)</w:t>
            </w:r>
          </w:p>
        </w:tc>
        <w:tc>
          <w:tcPr>
            <w:tcW w:w="550" w:type="pct"/>
            <w:tcBorders>
              <w:top w:val="single" w:color="000000" w:sz="2" w:space="0"/>
              <w:left w:val="single" w:color="000000" w:sz="10" w:space="0"/>
              <w:right w:val="single" w:color="000000" w:sz="10" w:space="0"/>
            </w:tcBorders>
            <w:vAlign w:val="center"/>
          </w:tcPr>
          <w:p>
            <w:pPr>
              <w:ind w:firstLine="0" w:firstLineChars="0"/>
              <w:jc w:val="center"/>
              <w:rPr>
                <w:color w:val="auto"/>
                <w:sz w:val="21"/>
                <w:szCs w:val="21"/>
              </w:rPr>
            </w:pPr>
            <w:r>
              <w:rPr>
                <w:color w:val="auto"/>
                <w:sz w:val="21"/>
                <w:szCs w:val="21"/>
              </w:rPr>
              <w:t>Ci(ug/m</w:t>
            </w:r>
            <w:r>
              <w:rPr>
                <w:color w:val="auto"/>
                <w:sz w:val="21"/>
                <w:szCs w:val="21"/>
                <w:vertAlign w:val="superscript"/>
              </w:rPr>
              <w:t>3</w:t>
            </w:r>
            <w:r>
              <w:rPr>
                <w:color w:val="auto"/>
                <w:sz w:val="21"/>
                <w:szCs w:val="21"/>
              </w:rPr>
              <w:t>)</w:t>
            </w:r>
          </w:p>
        </w:tc>
        <w:tc>
          <w:tcPr>
            <w:tcW w:w="483" w:type="pct"/>
            <w:gridSpan w:val="2"/>
            <w:tcBorders>
              <w:top w:val="single" w:color="000000" w:sz="2" w:space="0"/>
              <w:left w:val="single" w:color="000000" w:sz="10" w:space="0"/>
              <w:right w:val="single" w:color="000000" w:sz="10" w:space="0"/>
            </w:tcBorders>
            <w:vAlign w:val="center"/>
          </w:tcPr>
          <w:p>
            <w:pPr>
              <w:ind w:firstLine="0" w:firstLineChars="0"/>
              <w:jc w:val="center"/>
              <w:rPr>
                <w:color w:val="auto"/>
                <w:sz w:val="21"/>
                <w:szCs w:val="21"/>
              </w:rPr>
            </w:pPr>
            <w:r>
              <w:rPr>
                <w:color w:val="auto"/>
                <w:sz w:val="21"/>
                <w:szCs w:val="21"/>
              </w:rPr>
              <w:t>Pi(%)</w:t>
            </w:r>
          </w:p>
        </w:tc>
        <w:tc>
          <w:tcPr>
            <w:tcW w:w="615" w:type="pct"/>
            <w:tcBorders>
              <w:top w:val="single" w:color="000000" w:sz="2" w:space="0"/>
              <w:left w:val="single" w:color="000000" w:sz="10" w:space="0"/>
              <w:right w:val="single" w:color="000000" w:sz="10" w:space="0"/>
            </w:tcBorders>
            <w:vAlign w:val="center"/>
          </w:tcPr>
          <w:p>
            <w:pPr>
              <w:ind w:firstLine="0" w:firstLineChars="0"/>
              <w:jc w:val="center"/>
              <w:rPr>
                <w:color w:val="auto"/>
                <w:sz w:val="21"/>
                <w:szCs w:val="21"/>
              </w:rPr>
            </w:pPr>
            <w:r>
              <w:rPr>
                <w:color w:val="auto"/>
                <w:sz w:val="21"/>
                <w:szCs w:val="21"/>
              </w:rPr>
              <w:t>Ci(ug/m</w:t>
            </w:r>
            <w:r>
              <w:rPr>
                <w:color w:val="auto"/>
                <w:sz w:val="21"/>
                <w:szCs w:val="21"/>
                <w:vertAlign w:val="superscript"/>
              </w:rPr>
              <w:t>3</w:t>
            </w:r>
            <w:r>
              <w:rPr>
                <w:color w:val="auto"/>
                <w:sz w:val="21"/>
                <w:szCs w:val="21"/>
              </w:rPr>
              <w:t>)</w:t>
            </w:r>
          </w:p>
        </w:tc>
        <w:tc>
          <w:tcPr>
            <w:tcW w:w="507" w:type="pct"/>
            <w:gridSpan w:val="2"/>
            <w:tcBorders>
              <w:top w:val="single" w:color="000000" w:sz="2" w:space="0"/>
              <w:left w:val="single" w:color="000000" w:sz="10" w:space="0"/>
              <w:right w:val="single" w:color="000000" w:sz="10" w:space="0"/>
            </w:tcBorders>
            <w:vAlign w:val="center"/>
          </w:tcPr>
          <w:p>
            <w:pPr>
              <w:ind w:firstLine="0" w:firstLineChars="0"/>
              <w:jc w:val="center"/>
              <w:rPr>
                <w:color w:val="auto"/>
                <w:sz w:val="21"/>
                <w:szCs w:val="21"/>
              </w:rPr>
            </w:pPr>
            <w:r>
              <w:rPr>
                <w:color w:val="auto"/>
                <w:sz w:val="21"/>
                <w:szCs w:val="21"/>
              </w:rPr>
              <w:t>Pi(%)</w:t>
            </w:r>
          </w:p>
        </w:tc>
        <w:tc>
          <w:tcPr>
            <w:tcW w:w="585" w:type="pct"/>
            <w:gridSpan w:val="2"/>
            <w:tcBorders>
              <w:top w:val="single" w:color="000000" w:sz="2" w:space="0"/>
              <w:left w:val="single" w:color="000000" w:sz="10" w:space="0"/>
              <w:right w:val="single" w:color="000000" w:sz="10" w:space="0"/>
            </w:tcBorders>
            <w:vAlign w:val="center"/>
          </w:tcPr>
          <w:p>
            <w:pPr>
              <w:ind w:firstLine="0" w:firstLineChars="0"/>
              <w:jc w:val="center"/>
              <w:rPr>
                <w:rFonts w:eastAsia="Arial"/>
                <w:snapToGrid w:val="0"/>
                <w:color w:val="auto"/>
                <w:kern w:val="0"/>
                <w:sz w:val="21"/>
                <w:szCs w:val="21"/>
                <w:lang w:eastAsia="en-US"/>
              </w:rPr>
            </w:pPr>
            <w:r>
              <w:rPr>
                <w:color w:val="auto"/>
                <w:sz w:val="21"/>
                <w:szCs w:val="21"/>
              </w:rPr>
              <w:t>Ci(ug/m</w:t>
            </w:r>
            <w:r>
              <w:rPr>
                <w:color w:val="auto"/>
                <w:sz w:val="21"/>
                <w:szCs w:val="21"/>
                <w:vertAlign w:val="superscript"/>
              </w:rPr>
              <w:t>3</w:t>
            </w:r>
            <w:r>
              <w:rPr>
                <w:color w:val="auto"/>
                <w:sz w:val="21"/>
                <w:szCs w:val="21"/>
              </w:rPr>
              <w:t>)</w:t>
            </w:r>
          </w:p>
        </w:tc>
        <w:tc>
          <w:tcPr>
            <w:tcW w:w="527" w:type="pct"/>
            <w:tcBorders>
              <w:top w:val="single" w:color="000000" w:sz="2" w:space="0"/>
              <w:left w:val="single" w:color="000000" w:sz="10" w:space="0"/>
              <w:right w:val="single" w:color="000000" w:sz="10" w:space="0"/>
            </w:tcBorders>
            <w:vAlign w:val="center"/>
          </w:tcPr>
          <w:p>
            <w:pPr>
              <w:ind w:firstLine="0" w:firstLineChars="0"/>
              <w:jc w:val="center"/>
              <w:rPr>
                <w:rFonts w:eastAsia="Arial"/>
                <w:snapToGrid w:val="0"/>
                <w:color w:val="auto"/>
                <w:kern w:val="0"/>
                <w:sz w:val="21"/>
                <w:szCs w:val="21"/>
                <w:lang w:eastAsia="en-US"/>
              </w:rPr>
            </w:pPr>
            <w:r>
              <w:rPr>
                <w:color w:val="auto"/>
                <w:sz w:val="21"/>
                <w:szCs w:val="21"/>
              </w:rPr>
              <w:t>Pi(%)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72" w:type="pct"/>
            <w:tcBorders>
              <w:right w:val="single" w:color="000000" w:sz="10" w:space="0"/>
            </w:tcBorders>
            <w:vAlign w:val="center"/>
          </w:tcPr>
          <w:p>
            <w:pPr>
              <w:ind w:firstLine="0" w:firstLineChars="0"/>
              <w:jc w:val="center"/>
              <w:rPr>
                <w:color w:val="auto"/>
                <w:sz w:val="21"/>
                <w:szCs w:val="21"/>
              </w:rPr>
            </w:pPr>
            <w:r>
              <w:rPr>
                <w:color w:val="auto"/>
                <w:sz w:val="21"/>
                <w:szCs w:val="21"/>
              </w:rPr>
              <w:t>25</w:t>
            </w:r>
          </w:p>
        </w:tc>
        <w:tc>
          <w:tcPr>
            <w:tcW w:w="514"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0.22764</w:t>
            </w:r>
          </w:p>
        </w:tc>
        <w:tc>
          <w:tcPr>
            <w:tcW w:w="444"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0.0504</w:t>
            </w:r>
          </w:p>
        </w:tc>
        <w:tc>
          <w:tcPr>
            <w:tcW w:w="550"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0.03888</w:t>
            </w:r>
          </w:p>
        </w:tc>
        <w:tc>
          <w:tcPr>
            <w:tcW w:w="483"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0.0072</w:t>
            </w:r>
          </w:p>
        </w:tc>
        <w:tc>
          <w:tcPr>
            <w:tcW w:w="615"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0.28872</w:t>
            </w:r>
          </w:p>
        </w:tc>
        <w:tc>
          <w:tcPr>
            <w:tcW w:w="507"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0.1</w:t>
            </w:r>
            <w:r>
              <w:rPr>
                <w:rFonts w:hint="eastAsia"/>
                <w:color w:val="auto"/>
                <w:kern w:val="0"/>
                <w:sz w:val="21"/>
                <w:szCs w:val="21"/>
                <w:lang w:bidi="ar"/>
              </w:rPr>
              <w:t>1</w:t>
            </w:r>
          </w:p>
        </w:tc>
        <w:tc>
          <w:tcPr>
            <w:tcW w:w="585"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0.00005556</w:t>
            </w:r>
          </w:p>
        </w:tc>
        <w:tc>
          <w:tcPr>
            <w:tcW w:w="527"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0.7404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72" w:type="pct"/>
            <w:tcBorders>
              <w:right w:val="single" w:color="000000" w:sz="10" w:space="0"/>
            </w:tcBorders>
            <w:vAlign w:val="center"/>
          </w:tcPr>
          <w:p>
            <w:pPr>
              <w:ind w:firstLine="0" w:firstLineChars="0"/>
              <w:jc w:val="center"/>
              <w:rPr>
                <w:color w:val="auto"/>
                <w:sz w:val="21"/>
                <w:szCs w:val="21"/>
              </w:rPr>
            </w:pPr>
            <w:r>
              <w:rPr>
                <w:color w:val="auto"/>
                <w:sz w:val="21"/>
                <w:szCs w:val="21"/>
              </w:rPr>
              <w:t>50</w:t>
            </w:r>
          </w:p>
        </w:tc>
        <w:tc>
          <w:tcPr>
            <w:tcW w:w="514"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0.16032</w:t>
            </w:r>
          </w:p>
        </w:tc>
        <w:tc>
          <w:tcPr>
            <w:tcW w:w="444"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0.036</w:t>
            </w:r>
          </w:p>
        </w:tc>
        <w:tc>
          <w:tcPr>
            <w:tcW w:w="550"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0.02736</w:t>
            </w:r>
          </w:p>
        </w:tc>
        <w:tc>
          <w:tcPr>
            <w:tcW w:w="483"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0.006</w:t>
            </w:r>
          </w:p>
        </w:tc>
        <w:tc>
          <w:tcPr>
            <w:tcW w:w="615"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0.2034</w:t>
            </w:r>
          </w:p>
        </w:tc>
        <w:tc>
          <w:tcPr>
            <w:tcW w:w="507"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0.084</w:t>
            </w:r>
          </w:p>
        </w:tc>
        <w:tc>
          <w:tcPr>
            <w:tcW w:w="585"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0.00003912</w:t>
            </w:r>
          </w:p>
        </w:tc>
        <w:tc>
          <w:tcPr>
            <w:tcW w:w="527"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0.522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72" w:type="pct"/>
            <w:tcBorders>
              <w:right w:val="single" w:color="000000" w:sz="10" w:space="0"/>
            </w:tcBorders>
            <w:vAlign w:val="center"/>
          </w:tcPr>
          <w:p>
            <w:pPr>
              <w:ind w:firstLine="0" w:firstLineChars="0"/>
              <w:jc w:val="center"/>
              <w:rPr>
                <w:color w:val="auto"/>
                <w:sz w:val="21"/>
                <w:szCs w:val="21"/>
              </w:rPr>
            </w:pPr>
            <w:r>
              <w:rPr>
                <w:color w:val="auto"/>
                <w:sz w:val="21"/>
                <w:szCs w:val="21"/>
              </w:rPr>
              <w:t>75</w:t>
            </w:r>
          </w:p>
        </w:tc>
        <w:tc>
          <w:tcPr>
            <w:tcW w:w="514"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0.1272</w:t>
            </w:r>
          </w:p>
        </w:tc>
        <w:tc>
          <w:tcPr>
            <w:tcW w:w="444"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0.0288</w:t>
            </w:r>
          </w:p>
        </w:tc>
        <w:tc>
          <w:tcPr>
            <w:tcW w:w="550"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0.02172</w:t>
            </w:r>
          </w:p>
        </w:tc>
        <w:tc>
          <w:tcPr>
            <w:tcW w:w="483"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0.0048</w:t>
            </w:r>
          </w:p>
        </w:tc>
        <w:tc>
          <w:tcPr>
            <w:tcW w:w="615"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0.16128</w:t>
            </w:r>
          </w:p>
        </w:tc>
        <w:tc>
          <w:tcPr>
            <w:tcW w:w="507"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0.06</w:t>
            </w:r>
          </w:p>
        </w:tc>
        <w:tc>
          <w:tcPr>
            <w:tcW w:w="585"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0.00003108</w:t>
            </w:r>
          </w:p>
        </w:tc>
        <w:tc>
          <w:tcPr>
            <w:tcW w:w="527"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0.414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72" w:type="pct"/>
            <w:tcBorders>
              <w:right w:val="single" w:color="000000" w:sz="10" w:space="0"/>
            </w:tcBorders>
            <w:vAlign w:val="center"/>
          </w:tcPr>
          <w:p>
            <w:pPr>
              <w:ind w:firstLine="0" w:firstLineChars="0"/>
              <w:jc w:val="center"/>
              <w:rPr>
                <w:color w:val="auto"/>
                <w:sz w:val="21"/>
                <w:szCs w:val="21"/>
              </w:rPr>
            </w:pPr>
            <w:r>
              <w:rPr>
                <w:color w:val="auto"/>
                <w:sz w:val="21"/>
                <w:szCs w:val="21"/>
              </w:rPr>
              <w:t>100</w:t>
            </w:r>
          </w:p>
        </w:tc>
        <w:tc>
          <w:tcPr>
            <w:tcW w:w="514"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0.10776</w:t>
            </w:r>
          </w:p>
        </w:tc>
        <w:tc>
          <w:tcPr>
            <w:tcW w:w="444"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0.024</w:t>
            </w:r>
          </w:p>
        </w:tc>
        <w:tc>
          <w:tcPr>
            <w:tcW w:w="550"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0.01836</w:t>
            </w:r>
          </w:p>
        </w:tc>
        <w:tc>
          <w:tcPr>
            <w:tcW w:w="483"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0.0036</w:t>
            </w:r>
          </w:p>
        </w:tc>
        <w:tc>
          <w:tcPr>
            <w:tcW w:w="615"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0.13668</w:t>
            </w:r>
          </w:p>
        </w:tc>
        <w:tc>
          <w:tcPr>
            <w:tcW w:w="507"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0.06</w:t>
            </w:r>
          </w:p>
        </w:tc>
        <w:tc>
          <w:tcPr>
            <w:tcW w:w="585"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0.00002628</w:t>
            </w:r>
          </w:p>
        </w:tc>
        <w:tc>
          <w:tcPr>
            <w:tcW w:w="527"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0.3504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72" w:type="pct"/>
            <w:tcBorders>
              <w:right w:val="single" w:color="000000" w:sz="10" w:space="0"/>
            </w:tcBorders>
            <w:vAlign w:val="center"/>
          </w:tcPr>
          <w:p>
            <w:pPr>
              <w:ind w:firstLine="0" w:firstLineChars="0"/>
              <w:jc w:val="center"/>
              <w:rPr>
                <w:color w:val="auto"/>
                <w:sz w:val="21"/>
                <w:szCs w:val="21"/>
              </w:rPr>
            </w:pPr>
            <w:r>
              <w:rPr>
                <w:color w:val="auto"/>
                <w:sz w:val="21"/>
                <w:szCs w:val="21"/>
              </w:rPr>
              <w:t>125</w:t>
            </w:r>
          </w:p>
        </w:tc>
        <w:tc>
          <w:tcPr>
            <w:tcW w:w="514"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0.09348</w:t>
            </w:r>
          </w:p>
        </w:tc>
        <w:tc>
          <w:tcPr>
            <w:tcW w:w="444"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0.0204</w:t>
            </w:r>
          </w:p>
        </w:tc>
        <w:tc>
          <w:tcPr>
            <w:tcW w:w="550"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0.01596</w:t>
            </w:r>
          </w:p>
        </w:tc>
        <w:tc>
          <w:tcPr>
            <w:tcW w:w="483"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0.0036</w:t>
            </w:r>
          </w:p>
        </w:tc>
        <w:tc>
          <w:tcPr>
            <w:tcW w:w="615"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0.11868</w:t>
            </w:r>
          </w:p>
        </w:tc>
        <w:tc>
          <w:tcPr>
            <w:tcW w:w="507"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0.048</w:t>
            </w:r>
          </w:p>
        </w:tc>
        <w:tc>
          <w:tcPr>
            <w:tcW w:w="585"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0.0000228</w:t>
            </w:r>
          </w:p>
        </w:tc>
        <w:tc>
          <w:tcPr>
            <w:tcW w:w="527"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0.3036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72" w:type="pct"/>
            <w:tcBorders>
              <w:right w:val="single" w:color="000000" w:sz="10" w:space="0"/>
            </w:tcBorders>
            <w:vAlign w:val="center"/>
          </w:tcPr>
          <w:p>
            <w:pPr>
              <w:ind w:firstLine="0" w:firstLineChars="0"/>
              <w:jc w:val="center"/>
              <w:rPr>
                <w:color w:val="auto"/>
                <w:sz w:val="21"/>
                <w:szCs w:val="21"/>
              </w:rPr>
            </w:pPr>
            <w:r>
              <w:rPr>
                <w:color w:val="auto"/>
                <w:sz w:val="21"/>
                <w:szCs w:val="21"/>
              </w:rPr>
              <w:t>150</w:t>
            </w:r>
          </w:p>
        </w:tc>
        <w:tc>
          <w:tcPr>
            <w:tcW w:w="514"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0.13236</w:t>
            </w:r>
          </w:p>
        </w:tc>
        <w:tc>
          <w:tcPr>
            <w:tcW w:w="444"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0.03</w:t>
            </w:r>
          </w:p>
        </w:tc>
        <w:tc>
          <w:tcPr>
            <w:tcW w:w="550"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0.02256</w:t>
            </w:r>
          </w:p>
        </w:tc>
        <w:tc>
          <w:tcPr>
            <w:tcW w:w="483"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0.0048</w:t>
            </w:r>
          </w:p>
        </w:tc>
        <w:tc>
          <w:tcPr>
            <w:tcW w:w="615"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0.16788</w:t>
            </w:r>
          </w:p>
        </w:tc>
        <w:tc>
          <w:tcPr>
            <w:tcW w:w="507"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0.072</w:t>
            </w:r>
          </w:p>
        </w:tc>
        <w:tc>
          <w:tcPr>
            <w:tcW w:w="585"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0.00003228</w:t>
            </w:r>
          </w:p>
        </w:tc>
        <w:tc>
          <w:tcPr>
            <w:tcW w:w="527"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0.4308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72" w:type="pct"/>
            <w:tcBorders>
              <w:right w:val="single" w:color="000000" w:sz="10" w:space="0"/>
            </w:tcBorders>
            <w:vAlign w:val="center"/>
          </w:tcPr>
          <w:p>
            <w:pPr>
              <w:ind w:firstLine="0" w:firstLineChars="0"/>
              <w:jc w:val="center"/>
              <w:rPr>
                <w:color w:val="auto"/>
                <w:sz w:val="21"/>
                <w:szCs w:val="21"/>
              </w:rPr>
            </w:pPr>
            <w:r>
              <w:rPr>
                <w:color w:val="auto"/>
                <w:sz w:val="21"/>
                <w:szCs w:val="21"/>
              </w:rPr>
              <w:t>200</w:t>
            </w:r>
          </w:p>
        </w:tc>
        <w:tc>
          <w:tcPr>
            <w:tcW w:w="514"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0.17712</w:t>
            </w:r>
          </w:p>
        </w:tc>
        <w:tc>
          <w:tcPr>
            <w:tcW w:w="444"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0.0396</w:t>
            </w:r>
          </w:p>
        </w:tc>
        <w:tc>
          <w:tcPr>
            <w:tcW w:w="550"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0.03024</w:t>
            </w:r>
          </w:p>
        </w:tc>
        <w:tc>
          <w:tcPr>
            <w:tcW w:w="483"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0.006</w:t>
            </w:r>
          </w:p>
        </w:tc>
        <w:tc>
          <w:tcPr>
            <w:tcW w:w="615"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0.22452</w:t>
            </w:r>
          </w:p>
        </w:tc>
        <w:tc>
          <w:tcPr>
            <w:tcW w:w="507"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0.084</w:t>
            </w:r>
          </w:p>
        </w:tc>
        <w:tc>
          <w:tcPr>
            <w:tcW w:w="585"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0.0000432</w:t>
            </w:r>
          </w:p>
        </w:tc>
        <w:tc>
          <w:tcPr>
            <w:tcW w:w="527"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0.576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72" w:type="pct"/>
            <w:tcBorders>
              <w:right w:val="single" w:color="000000" w:sz="10" w:space="0"/>
            </w:tcBorders>
            <w:vAlign w:val="center"/>
          </w:tcPr>
          <w:p>
            <w:pPr>
              <w:ind w:firstLine="0" w:firstLineChars="0"/>
              <w:jc w:val="center"/>
              <w:rPr>
                <w:color w:val="auto"/>
                <w:sz w:val="21"/>
                <w:szCs w:val="21"/>
              </w:rPr>
            </w:pPr>
            <w:r>
              <w:rPr>
                <w:color w:val="auto"/>
                <w:sz w:val="21"/>
                <w:szCs w:val="21"/>
              </w:rPr>
              <w:t>300</w:t>
            </w:r>
          </w:p>
        </w:tc>
        <w:tc>
          <w:tcPr>
            <w:tcW w:w="514"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0.16992</w:t>
            </w:r>
          </w:p>
        </w:tc>
        <w:tc>
          <w:tcPr>
            <w:tcW w:w="444"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0.0372</w:t>
            </w:r>
          </w:p>
        </w:tc>
        <w:tc>
          <w:tcPr>
            <w:tcW w:w="550"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0.02904</w:t>
            </w:r>
          </w:p>
        </w:tc>
        <w:tc>
          <w:tcPr>
            <w:tcW w:w="483"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0.006</w:t>
            </w:r>
          </w:p>
        </w:tc>
        <w:tc>
          <w:tcPr>
            <w:tcW w:w="615"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0.21552</w:t>
            </w:r>
          </w:p>
        </w:tc>
        <w:tc>
          <w:tcPr>
            <w:tcW w:w="507"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0.084</w:t>
            </w:r>
          </w:p>
        </w:tc>
        <w:tc>
          <w:tcPr>
            <w:tcW w:w="585"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0.0000414</w:t>
            </w:r>
          </w:p>
        </w:tc>
        <w:tc>
          <w:tcPr>
            <w:tcW w:w="527"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0.5532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72" w:type="pct"/>
            <w:tcBorders>
              <w:right w:val="single" w:color="000000" w:sz="10" w:space="0"/>
            </w:tcBorders>
            <w:vAlign w:val="center"/>
          </w:tcPr>
          <w:p>
            <w:pPr>
              <w:ind w:firstLine="0" w:firstLineChars="0"/>
              <w:jc w:val="center"/>
              <w:rPr>
                <w:color w:val="auto"/>
                <w:sz w:val="21"/>
                <w:szCs w:val="21"/>
              </w:rPr>
            </w:pPr>
            <w:r>
              <w:rPr>
                <w:color w:val="auto"/>
                <w:sz w:val="21"/>
                <w:szCs w:val="21"/>
              </w:rPr>
              <w:t>500</w:t>
            </w:r>
          </w:p>
        </w:tc>
        <w:tc>
          <w:tcPr>
            <w:tcW w:w="514"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0.12156</w:t>
            </w:r>
          </w:p>
        </w:tc>
        <w:tc>
          <w:tcPr>
            <w:tcW w:w="444"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0.0276</w:t>
            </w:r>
          </w:p>
        </w:tc>
        <w:tc>
          <w:tcPr>
            <w:tcW w:w="550"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0.02076</w:t>
            </w:r>
          </w:p>
        </w:tc>
        <w:tc>
          <w:tcPr>
            <w:tcW w:w="483"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0.0036</w:t>
            </w:r>
          </w:p>
        </w:tc>
        <w:tc>
          <w:tcPr>
            <w:tcW w:w="615"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0.1542</w:t>
            </w:r>
          </w:p>
        </w:tc>
        <w:tc>
          <w:tcPr>
            <w:tcW w:w="507"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0.06</w:t>
            </w:r>
          </w:p>
        </w:tc>
        <w:tc>
          <w:tcPr>
            <w:tcW w:w="585"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0.00002964</w:t>
            </w:r>
          </w:p>
        </w:tc>
        <w:tc>
          <w:tcPr>
            <w:tcW w:w="527"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0.3948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772" w:type="pct"/>
            <w:tcBorders>
              <w:right w:val="single" w:color="000000" w:sz="10" w:space="0"/>
            </w:tcBorders>
            <w:vAlign w:val="center"/>
          </w:tcPr>
          <w:p>
            <w:pPr>
              <w:ind w:firstLine="0" w:firstLineChars="0"/>
              <w:jc w:val="center"/>
              <w:rPr>
                <w:color w:val="auto"/>
                <w:sz w:val="21"/>
                <w:szCs w:val="21"/>
              </w:rPr>
            </w:pPr>
            <w:r>
              <w:rPr>
                <w:color w:val="auto"/>
                <w:sz w:val="21"/>
                <w:szCs w:val="21"/>
              </w:rPr>
              <w:t>800</w:t>
            </w:r>
          </w:p>
        </w:tc>
        <w:tc>
          <w:tcPr>
            <w:tcW w:w="514"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0.0768</w:t>
            </w:r>
          </w:p>
        </w:tc>
        <w:tc>
          <w:tcPr>
            <w:tcW w:w="444"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0.0168</w:t>
            </w:r>
          </w:p>
        </w:tc>
        <w:tc>
          <w:tcPr>
            <w:tcW w:w="550"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0.01308</w:t>
            </w:r>
          </w:p>
        </w:tc>
        <w:tc>
          <w:tcPr>
            <w:tcW w:w="483"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0.0024</w:t>
            </w:r>
          </w:p>
        </w:tc>
        <w:tc>
          <w:tcPr>
            <w:tcW w:w="615"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0.09744</w:t>
            </w:r>
          </w:p>
        </w:tc>
        <w:tc>
          <w:tcPr>
            <w:tcW w:w="507"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0.036</w:t>
            </w:r>
          </w:p>
        </w:tc>
        <w:tc>
          <w:tcPr>
            <w:tcW w:w="585"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0.00001872</w:t>
            </w:r>
          </w:p>
        </w:tc>
        <w:tc>
          <w:tcPr>
            <w:tcW w:w="527"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0.2496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72" w:type="pct"/>
            <w:tcBorders>
              <w:right w:val="single" w:color="000000" w:sz="10" w:space="0"/>
            </w:tcBorders>
            <w:vAlign w:val="center"/>
          </w:tcPr>
          <w:p>
            <w:pPr>
              <w:ind w:firstLine="0" w:firstLineChars="0"/>
              <w:jc w:val="center"/>
              <w:rPr>
                <w:color w:val="auto"/>
                <w:sz w:val="21"/>
                <w:szCs w:val="21"/>
              </w:rPr>
            </w:pPr>
            <w:r>
              <w:rPr>
                <w:color w:val="auto"/>
                <w:sz w:val="21"/>
                <w:szCs w:val="21"/>
              </w:rPr>
              <w:t>1000</w:t>
            </w:r>
          </w:p>
        </w:tc>
        <w:tc>
          <w:tcPr>
            <w:tcW w:w="514"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0.05988</w:t>
            </w:r>
          </w:p>
        </w:tc>
        <w:tc>
          <w:tcPr>
            <w:tcW w:w="444"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0.0132</w:t>
            </w:r>
          </w:p>
        </w:tc>
        <w:tc>
          <w:tcPr>
            <w:tcW w:w="550"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0.0102</w:t>
            </w:r>
          </w:p>
        </w:tc>
        <w:tc>
          <w:tcPr>
            <w:tcW w:w="483"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0.0024</w:t>
            </w:r>
          </w:p>
        </w:tc>
        <w:tc>
          <w:tcPr>
            <w:tcW w:w="615"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0.07596</w:t>
            </w:r>
          </w:p>
        </w:tc>
        <w:tc>
          <w:tcPr>
            <w:tcW w:w="507"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0.036</w:t>
            </w:r>
          </w:p>
        </w:tc>
        <w:tc>
          <w:tcPr>
            <w:tcW w:w="585"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0.00001464</w:t>
            </w:r>
          </w:p>
        </w:tc>
        <w:tc>
          <w:tcPr>
            <w:tcW w:w="527"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0.1944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72" w:type="pct"/>
            <w:tcBorders>
              <w:right w:val="single" w:color="000000" w:sz="10" w:space="0"/>
            </w:tcBorders>
            <w:vAlign w:val="center"/>
          </w:tcPr>
          <w:p>
            <w:pPr>
              <w:ind w:firstLine="0" w:firstLineChars="0"/>
              <w:jc w:val="center"/>
              <w:rPr>
                <w:color w:val="auto"/>
                <w:sz w:val="21"/>
                <w:szCs w:val="21"/>
              </w:rPr>
            </w:pPr>
            <w:r>
              <w:rPr>
                <w:color w:val="auto"/>
                <w:sz w:val="21"/>
                <w:szCs w:val="21"/>
              </w:rPr>
              <w:t>1300</w:t>
            </w:r>
          </w:p>
        </w:tc>
        <w:tc>
          <w:tcPr>
            <w:tcW w:w="514"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0.04404</w:t>
            </w:r>
          </w:p>
        </w:tc>
        <w:tc>
          <w:tcPr>
            <w:tcW w:w="444"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0.0096</w:t>
            </w:r>
          </w:p>
        </w:tc>
        <w:tc>
          <w:tcPr>
            <w:tcW w:w="550"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0.00756</w:t>
            </w:r>
          </w:p>
        </w:tc>
        <w:tc>
          <w:tcPr>
            <w:tcW w:w="483"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0.0012</w:t>
            </w:r>
          </w:p>
        </w:tc>
        <w:tc>
          <w:tcPr>
            <w:tcW w:w="615"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0.05592</w:t>
            </w:r>
          </w:p>
        </w:tc>
        <w:tc>
          <w:tcPr>
            <w:tcW w:w="507"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0.024</w:t>
            </w:r>
          </w:p>
        </w:tc>
        <w:tc>
          <w:tcPr>
            <w:tcW w:w="585"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0.00001074</w:t>
            </w:r>
          </w:p>
        </w:tc>
        <w:tc>
          <w:tcPr>
            <w:tcW w:w="527"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0.1428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72" w:type="pct"/>
            <w:tcBorders>
              <w:right w:val="single" w:color="000000" w:sz="10" w:space="0"/>
            </w:tcBorders>
            <w:vAlign w:val="center"/>
          </w:tcPr>
          <w:p>
            <w:pPr>
              <w:ind w:firstLine="0" w:firstLineChars="0"/>
              <w:jc w:val="center"/>
              <w:rPr>
                <w:color w:val="auto"/>
                <w:sz w:val="21"/>
                <w:szCs w:val="21"/>
              </w:rPr>
            </w:pPr>
            <w:r>
              <w:rPr>
                <w:color w:val="auto"/>
                <w:sz w:val="21"/>
                <w:szCs w:val="21"/>
              </w:rPr>
              <w:t>1600</w:t>
            </w:r>
          </w:p>
        </w:tc>
        <w:tc>
          <w:tcPr>
            <w:tcW w:w="514"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0.0342</w:t>
            </w:r>
          </w:p>
        </w:tc>
        <w:tc>
          <w:tcPr>
            <w:tcW w:w="444"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0.0072</w:t>
            </w:r>
          </w:p>
        </w:tc>
        <w:tc>
          <w:tcPr>
            <w:tcW w:w="550"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0.00588</w:t>
            </w:r>
          </w:p>
        </w:tc>
        <w:tc>
          <w:tcPr>
            <w:tcW w:w="483"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0.0012</w:t>
            </w:r>
          </w:p>
        </w:tc>
        <w:tc>
          <w:tcPr>
            <w:tcW w:w="615"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0.04332</w:t>
            </w:r>
          </w:p>
        </w:tc>
        <w:tc>
          <w:tcPr>
            <w:tcW w:w="507"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0.012</w:t>
            </w:r>
          </w:p>
        </w:tc>
        <w:tc>
          <w:tcPr>
            <w:tcW w:w="585"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0.00000834</w:t>
            </w:r>
          </w:p>
        </w:tc>
        <w:tc>
          <w:tcPr>
            <w:tcW w:w="527"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0.1116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72" w:type="pct"/>
            <w:tcBorders>
              <w:right w:val="single" w:color="000000" w:sz="10" w:space="0"/>
            </w:tcBorders>
            <w:vAlign w:val="center"/>
          </w:tcPr>
          <w:p>
            <w:pPr>
              <w:ind w:firstLine="0" w:firstLineChars="0"/>
              <w:jc w:val="center"/>
              <w:rPr>
                <w:color w:val="auto"/>
                <w:sz w:val="21"/>
                <w:szCs w:val="21"/>
              </w:rPr>
            </w:pPr>
            <w:r>
              <w:rPr>
                <w:color w:val="auto"/>
                <w:sz w:val="21"/>
                <w:szCs w:val="21"/>
              </w:rPr>
              <w:t>1800</w:t>
            </w:r>
          </w:p>
        </w:tc>
        <w:tc>
          <w:tcPr>
            <w:tcW w:w="514"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0.02952</w:t>
            </w:r>
          </w:p>
        </w:tc>
        <w:tc>
          <w:tcPr>
            <w:tcW w:w="444"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0.006</w:t>
            </w:r>
          </w:p>
        </w:tc>
        <w:tc>
          <w:tcPr>
            <w:tcW w:w="550"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0.00504</w:t>
            </w:r>
          </w:p>
        </w:tc>
        <w:tc>
          <w:tcPr>
            <w:tcW w:w="483"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0.0012</w:t>
            </w:r>
          </w:p>
        </w:tc>
        <w:tc>
          <w:tcPr>
            <w:tcW w:w="615"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0.03744</w:t>
            </w:r>
          </w:p>
        </w:tc>
        <w:tc>
          <w:tcPr>
            <w:tcW w:w="507"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0.012</w:t>
            </w:r>
          </w:p>
        </w:tc>
        <w:tc>
          <w:tcPr>
            <w:tcW w:w="585"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0.0000072</w:t>
            </w:r>
          </w:p>
        </w:tc>
        <w:tc>
          <w:tcPr>
            <w:tcW w:w="527"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72" w:type="pct"/>
            <w:tcBorders>
              <w:right w:val="single" w:color="000000" w:sz="10" w:space="0"/>
            </w:tcBorders>
            <w:vAlign w:val="center"/>
          </w:tcPr>
          <w:p>
            <w:pPr>
              <w:ind w:firstLine="0" w:firstLineChars="0"/>
              <w:jc w:val="center"/>
              <w:rPr>
                <w:color w:val="auto"/>
                <w:sz w:val="21"/>
                <w:szCs w:val="21"/>
              </w:rPr>
            </w:pPr>
            <w:r>
              <w:rPr>
                <w:color w:val="auto"/>
                <w:sz w:val="21"/>
                <w:szCs w:val="21"/>
              </w:rPr>
              <w:t>2000</w:t>
            </w:r>
          </w:p>
        </w:tc>
        <w:tc>
          <w:tcPr>
            <w:tcW w:w="514"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0.0258</w:t>
            </w:r>
          </w:p>
        </w:tc>
        <w:tc>
          <w:tcPr>
            <w:tcW w:w="444"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0.006</w:t>
            </w:r>
          </w:p>
        </w:tc>
        <w:tc>
          <w:tcPr>
            <w:tcW w:w="550"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0.00444</w:t>
            </w:r>
          </w:p>
        </w:tc>
        <w:tc>
          <w:tcPr>
            <w:tcW w:w="483"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0.0012</w:t>
            </w:r>
          </w:p>
        </w:tc>
        <w:tc>
          <w:tcPr>
            <w:tcW w:w="615"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0.03276</w:t>
            </w:r>
          </w:p>
        </w:tc>
        <w:tc>
          <w:tcPr>
            <w:tcW w:w="507"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0.012</w:t>
            </w:r>
          </w:p>
        </w:tc>
        <w:tc>
          <w:tcPr>
            <w:tcW w:w="585"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0.0000063</w:t>
            </w:r>
          </w:p>
        </w:tc>
        <w:tc>
          <w:tcPr>
            <w:tcW w:w="527"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72" w:type="pct"/>
            <w:tcBorders>
              <w:right w:val="single" w:color="000000" w:sz="10" w:space="0"/>
            </w:tcBorders>
            <w:vAlign w:val="center"/>
          </w:tcPr>
          <w:p>
            <w:pPr>
              <w:ind w:firstLine="0" w:firstLineChars="0"/>
              <w:jc w:val="center"/>
              <w:rPr>
                <w:color w:val="auto"/>
                <w:sz w:val="21"/>
                <w:szCs w:val="21"/>
              </w:rPr>
            </w:pPr>
            <w:r>
              <w:rPr>
                <w:color w:val="auto"/>
                <w:sz w:val="21"/>
                <w:szCs w:val="21"/>
              </w:rPr>
              <w:t>2300</w:t>
            </w:r>
          </w:p>
        </w:tc>
        <w:tc>
          <w:tcPr>
            <w:tcW w:w="514"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0.0216</w:t>
            </w:r>
          </w:p>
        </w:tc>
        <w:tc>
          <w:tcPr>
            <w:tcW w:w="444"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0.0048</w:t>
            </w:r>
          </w:p>
        </w:tc>
        <w:tc>
          <w:tcPr>
            <w:tcW w:w="550"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0.00372</w:t>
            </w:r>
          </w:p>
        </w:tc>
        <w:tc>
          <w:tcPr>
            <w:tcW w:w="483"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0.0012</w:t>
            </w:r>
          </w:p>
        </w:tc>
        <w:tc>
          <w:tcPr>
            <w:tcW w:w="615"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0.02736</w:t>
            </w:r>
          </w:p>
        </w:tc>
        <w:tc>
          <w:tcPr>
            <w:tcW w:w="507"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0.012</w:t>
            </w:r>
          </w:p>
        </w:tc>
        <w:tc>
          <w:tcPr>
            <w:tcW w:w="585"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0.000005268</w:t>
            </w:r>
          </w:p>
        </w:tc>
        <w:tc>
          <w:tcPr>
            <w:tcW w:w="527"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0.0696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72" w:type="pct"/>
            <w:tcBorders>
              <w:right w:val="single" w:color="000000" w:sz="10" w:space="0"/>
            </w:tcBorders>
            <w:vAlign w:val="center"/>
          </w:tcPr>
          <w:p>
            <w:pPr>
              <w:ind w:firstLine="0" w:firstLineChars="0"/>
              <w:jc w:val="center"/>
              <w:rPr>
                <w:color w:val="auto"/>
                <w:sz w:val="21"/>
                <w:szCs w:val="21"/>
              </w:rPr>
            </w:pPr>
            <w:r>
              <w:rPr>
                <w:color w:val="auto"/>
                <w:sz w:val="21"/>
                <w:szCs w:val="21"/>
              </w:rPr>
              <w:t>2500</w:t>
            </w:r>
          </w:p>
        </w:tc>
        <w:tc>
          <w:tcPr>
            <w:tcW w:w="514"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0.12252</w:t>
            </w:r>
          </w:p>
        </w:tc>
        <w:tc>
          <w:tcPr>
            <w:tcW w:w="444"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0.0276</w:t>
            </w:r>
          </w:p>
        </w:tc>
        <w:tc>
          <w:tcPr>
            <w:tcW w:w="550"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0.12252</w:t>
            </w:r>
          </w:p>
        </w:tc>
        <w:tc>
          <w:tcPr>
            <w:tcW w:w="483"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0.024</w:t>
            </w:r>
          </w:p>
        </w:tc>
        <w:tc>
          <w:tcPr>
            <w:tcW w:w="615"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0.12252</w:t>
            </w:r>
          </w:p>
        </w:tc>
        <w:tc>
          <w:tcPr>
            <w:tcW w:w="507"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0.048</w:t>
            </w:r>
          </w:p>
        </w:tc>
        <w:tc>
          <w:tcPr>
            <w:tcW w:w="585"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0.000004728</w:t>
            </w:r>
          </w:p>
        </w:tc>
        <w:tc>
          <w:tcPr>
            <w:tcW w:w="527"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0.0624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772" w:type="pct"/>
            <w:tcBorders>
              <w:right w:val="single" w:color="000000" w:sz="10" w:space="0"/>
            </w:tcBorders>
            <w:vAlign w:val="center"/>
          </w:tcPr>
          <w:p>
            <w:pPr>
              <w:ind w:firstLine="0" w:firstLineChars="0"/>
              <w:jc w:val="center"/>
              <w:rPr>
                <w:color w:val="auto"/>
                <w:sz w:val="21"/>
                <w:szCs w:val="21"/>
              </w:rPr>
            </w:pPr>
            <w:r>
              <w:rPr>
                <w:color w:val="auto"/>
                <w:sz w:val="21"/>
                <w:szCs w:val="21"/>
              </w:rPr>
              <w:t>最大落地浓度</w:t>
            </w:r>
          </w:p>
        </w:tc>
        <w:tc>
          <w:tcPr>
            <w:tcW w:w="514"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0.23352</w:t>
            </w:r>
          </w:p>
        </w:tc>
        <w:tc>
          <w:tcPr>
            <w:tcW w:w="444"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0.0516</w:t>
            </w:r>
          </w:p>
        </w:tc>
        <w:tc>
          <w:tcPr>
            <w:tcW w:w="550"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0.03984</w:t>
            </w:r>
          </w:p>
        </w:tc>
        <w:tc>
          <w:tcPr>
            <w:tcW w:w="483"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0.0084</w:t>
            </w:r>
          </w:p>
        </w:tc>
        <w:tc>
          <w:tcPr>
            <w:tcW w:w="615"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0.29616</w:t>
            </w:r>
          </w:p>
        </w:tc>
        <w:tc>
          <w:tcPr>
            <w:tcW w:w="507"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snapToGrid w:val="0"/>
                <w:color w:val="auto"/>
                <w:kern w:val="0"/>
                <w:sz w:val="22"/>
                <w:szCs w:val="22"/>
                <w:lang w:bidi="ar"/>
              </w:rPr>
              <w:t>0.1</w:t>
            </w:r>
            <w:r>
              <w:rPr>
                <w:rFonts w:hint="eastAsia"/>
                <w:snapToGrid w:val="0"/>
                <w:color w:val="auto"/>
                <w:kern w:val="0"/>
                <w:sz w:val="22"/>
                <w:szCs w:val="22"/>
                <w:lang w:bidi="ar"/>
              </w:rPr>
              <w:t>2</w:t>
            </w:r>
          </w:p>
        </w:tc>
        <w:tc>
          <w:tcPr>
            <w:tcW w:w="585" w:type="pct"/>
            <w:gridSpan w:val="2"/>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0.000057</w:t>
            </w:r>
          </w:p>
        </w:tc>
        <w:tc>
          <w:tcPr>
            <w:tcW w:w="527" w:type="pct"/>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0.7596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772" w:type="pct"/>
            <w:tcBorders>
              <w:left w:val="single" w:color="000000" w:sz="2" w:space="0"/>
              <w:bottom w:val="single" w:color="000000" w:sz="2" w:space="0"/>
            </w:tcBorders>
            <w:vAlign w:val="center"/>
          </w:tcPr>
          <w:p>
            <w:pPr>
              <w:ind w:firstLine="0" w:firstLineChars="0"/>
              <w:jc w:val="center"/>
              <w:rPr>
                <w:color w:val="auto"/>
                <w:sz w:val="21"/>
                <w:szCs w:val="21"/>
              </w:rPr>
            </w:pPr>
            <w:r>
              <w:rPr>
                <w:color w:val="auto"/>
                <w:sz w:val="21"/>
                <w:szCs w:val="21"/>
              </w:rPr>
              <w:t>出现距离/m</w:t>
            </w:r>
          </w:p>
        </w:tc>
        <w:tc>
          <w:tcPr>
            <w:tcW w:w="917" w:type="pct"/>
            <w:gridSpan w:val="2"/>
            <w:tcBorders>
              <w:bottom w:val="single" w:color="000000" w:sz="2" w:space="0"/>
            </w:tcBorders>
            <w:vAlign w:val="center"/>
          </w:tcPr>
          <w:p>
            <w:pPr>
              <w:ind w:firstLine="0" w:firstLineChars="0"/>
              <w:jc w:val="center"/>
              <w:rPr>
                <w:color w:val="auto"/>
                <w:sz w:val="21"/>
                <w:szCs w:val="21"/>
              </w:rPr>
            </w:pPr>
            <w:r>
              <w:rPr>
                <w:rFonts w:hint="eastAsia"/>
                <w:color w:val="auto"/>
                <w:sz w:val="21"/>
                <w:szCs w:val="21"/>
              </w:rPr>
              <w:t>143</w:t>
            </w:r>
          </w:p>
        </w:tc>
        <w:tc>
          <w:tcPr>
            <w:tcW w:w="917" w:type="pct"/>
            <w:gridSpan w:val="3"/>
            <w:tcBorders>
              <w:bottom w:val="single" w:color="000000" w:sz="2" w:space="0"/>
            </w:tcBorders>
            <w:vAlign w:val="center"/>
          </w:tcPr>
          <w:p>
            <w:pPr>
              <w:ind w:firstLine="0" w:firstLineChars="0"/>
              <w:jc w:val="center"/>
              <w:rPr>
                <w:rFonts w:hint="eastAsia"/>
                <w:color w:val="auto"/>
                <w:sz w:val="21"/>
                <w:szCs w:val="21"/>
              </w:rPr>
            </w:pPr>
          </w:p>
        </w:tc>
        <w:tc>
          <w:tcPr>
            <w:tcW w:w="916" w:type="pct"/>
            <w:gridSpan w:val="3"/>
            <w:tcBorders>
              <w:bottom w:val="single" w:color="000000" w:sz="2" w:space="0"/>
            </w:tcBorders>
            <w:vAlign w:val="center"/>
          </w:tcPr>
          <w:p>
            <w:pPr>
              <w:ind w:firstLine="0" w:firstLineChars="0"/>
              <w:jc w:val="center"/>
              <w:rPr>
                <w:rFonts w:hint="eastAsia"/>
                <w:color w:val="auto"/>
                <w:sz w:val="21"/>
                <w:szCs w:val="21"/>
              </w:rPr>
            </w:pPr>
          </w:p>
        </w:tc>
        <w:tc>
          <w:tcPr>
            <w:tcW w:w="916" w:type="pct"/>
            <w:gridSpan w:val="2"/>
            <w:tcBorders>
              <w:bottom w:val="single" w:color="000000" w:sz="2" w:space="0"/>
            </w:tcBorders>
            <w:vAlign w:val="center"/>
          </w:tcPr>
          <w:p>
            <w:pPr>
              <w:ind w:firstLine="0" w:firstLineChars="0"/>
              <w:jc w:val="center"/>
              <w:rPr>
                <w:rFonts w:hint="eastAsia"/>
                <w:color w:val="auto"/>
                <w:sz w:val="21"/>
                <w:szCs w:val="21"/>
              </w:rPr>
            </w:pPr>
          </w:p>
        </w:tc>
        <w:tc>
          <w:tcPr>
            <w:tcW w:w="561" w:type="pct"/>
            <w:gridSpan w:val="2"/>
            <w:tcBorders>
              <w:bottom w:val="single" w:color="000000" w:sz="2" w:space="0"/>
            </w:tcBorders>
            <w:vAlign w:val="center"/>
          </w:tcPr>
          <w:p>
            <w:pPr>
              <w:ind w:firstLine="0" w:firstLineChars="0"/>
              <w:jc w:val="center"/>
              <w:rPr>
                <w:rFonts w:hint="eastAsia"/>
                <w:color w:val="auto"/>
                <w:sz w:val="21"/>
                <w:szCs w:val="21"/>
              </w:rPr>
            </w:pPr>
          </w:p>
        </w:tc>
      </w:tr>
    </w:tbl>
    <w:p>
      <w:pPr>
        <w:pStyle w:val="2"/>
        <w:ind w:firstLine="480"/>
        <w:rPr>
          <w:color w:val="auto"/>
          <w:sz w:val="24"/>
        </w:rPr>
      </w:pPr>
    </w:p>
    <w:p>
      <w:pPr>
        <w:pStyle w:val="2"/>
        <w:ind w:firstLine="480"/>
        <w:rPr>
          <w:color w:val="auto"/>
          <w:sz w:val="24"/>
        </w:rPr>
      </w:pPr>
    </w:p>
    <w:p>
      <w:pPr>
        <w:pStyle w:val="2"/>
        <w:ind w:firstLine="480"/>
        <w:rPr>
          <w:color w:val="auto"/>
          <w:sz w:val="24"/>
        </w:rPr>
        <w:sectPr>
          <w:footerReference r:id="rId15" w:type="default"/>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pPr>
        <w:ind w:firstLine="482"/>
        <w:rPr>
          <w:b/>
          <w:bCs/>
          <w:color w:val="auto"/>
        </w:rPr>
      </w:pPr>
      <w:r>
        <w:rPr>
          <w:rFonts w:hint="eastAsia"/>
          <w:b/>
          <w:bCs/>
          <w:color w:val="auto"/>
        </w:rPr>
        <w:t>（3）无组织粉尘预测结果</w:t>
      </w:r>
    </w:p>
    <w:p>
      <w:pPr>
        <w:ind w:firstLine="480"/>
        <w:rPr>
          <w:color w:val="auto"/>
        </w:rPr>
      </w:pPr>
      <w:r>
        <w:rPr>
          <w:rFonts w:hint="eastAsia"/>
          <w:color w:val="auto"/>
        </w:rPr>
        <w:t>车间无组织粉尘预测结果如下表5-8所示。</w:t>
      </w:r>
    </w:p>
    <w:p>
      <w:pPr>
        <w:ind w:firstLine="0" w:firstLineChars="0"/>
        <w:jc w:val="center"/>
        <w:rPr>
          <w:b/>
          <w:bCs/>
          <w:color w:val="auto"/>
        </w:rPr>
      </w:pPr>
      <w:r>
        <w:rPr>
          <w:rFonts w:hint="eastAsia"/>
          <w:b/>
          <w:bCs/>
          <w:color w:val="auto"/>
        </w:rPr>
        <w:t>表5-8  预测结果</w:t>
      </w:r>
    </w:p>
    <w:tbl>
      <w:tblPr>
        <w:tblStyle w:val="61"/>
        <w:tblW w:w="500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989"/>
        <w:gridCol w:w="3425"/>
        <w:gridCol w:w="19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1792" w:type="pct"/>
            <w:vMerge w:val="restart"/>
            <w:tcBorders>
              <w:top w:val="single" w:color="000000" w:sz="2" w:space="0"/>
              <w:bottom w:val="nil"/>
              <w:right w:val="single" w:color="000000" w:sz="10" w:space="0"/>
              <w:tl2br w:val="single" w:color="000000" w:sz="2" w:space="0"/>
            </w:tcBorders>
            <w:vAlign w:val="center"/>
          </w:tcPr>
          <w:p>
            <w:pPr>
              <w:ind w:firstLine="0" w:firstLineChars="0"/>
              <w:jc w:val="center"/>
              <w:rPr>
                <w:color w:val="auto"/>
                <w:sz w:val="21"/>
                <w:szCs w:val="21"/>
              </w:rPr>
            </w:pPr>
            <w:r>
              <w:rPr>
                <w:rFonts w:hint="eastAsia"/>
                <w:color w:val="auto"/>
                <w:sz w:val="21"/>
                <w:szCs w:val="21"/>
              </w:rPr>
              <w:t xml:space="preserve">   </w:t>
            </w:r>
            <w:r>
              <w:rPr>
                <w:color w:val="auto"/>
                <w:sz w:val="21"/>
                <w:szCs w:val="21"/>
              </w:rPr>
              <w:t>污染物</w:t>
            </w:r>
          </w:p>
          <w:p>
            <w:pPr>
              <w:ind w:firstLine="0" w:firstLineChars="0"/>
              <w:jc w:val="center"/>
              <w:rPr>
                <w:color w:val="auto"/>
                <w:sz w:val="21"/>
                <w:szCs w:val="21"/>
              </w:rPr>
            </w:pPr>
            <w:r>
              <w:rPr>
                <w:color w:val="auto"/>
                <w:sz w:val="21"/>
                <w:szCs w:val="21"/>
              </w:rPr>
              <w:t xml:space="preserve"> </w:t>
            </w:r>
          </w:p>
          <w:p>
            <w:pPr>
              <w:ind w:firstLine="0" w:firstLineChars="0"/>
              <w:rPr>
                <w:color w:val="auto"/>
                <w:sz w:val="21"/>
                <w:szCs w:val="21"/>
              </w:rPr>
            </w:pPr>
            <w:r>
              <w:rPr>
                <w:color w:val="auto"/>
                <w:sz w:val="21"/>
                <w:szCs w:val="21"/>
              </w:rPr>
              <w:t>距离 D(m)</w:t>
            </w:r>
          </w:p>
        </w:tc>
        <w:tc>
          <w:tcPr>
            <w:tcW w:w="3207" w:type="pct"/>
            <w:gridSpan w:val="2"/>
            <w:tcBorders>
              <w:top w:val="single" w:color="000000" w:sz="2" w:space="0"/>
              <w:left w:val="single" w:color="000000" w:sz="10" w:space="0"/>
              <w:right w:val="single" w:color="000000" w:sz="10" w:space="0"/>
            </w:tcBorders>
            <w:vAlign w:val="center"/>
          </w:tcPr>
          <w:p>
            <w:pPr>
              <w:ind w:firstLine="0" w:firstLineChars="0"/>
              <w:jc w:val="center"/>
              <w:rPr>
                <w:color w:val="auto"/>
                <w:sz w:val="21"/>
                <w:szCs w:val="21"/>
              </w:rPr>
            </w:pPr>
            <w:r>
              <w:rPr>
                <w:rFonts w:hint="eastAsia"/>
                <w:color w:val="auto"/>
                <w:sz w:val="21"/>
                <w:szCs w:val="21"/>
              </w:rPr>
              <w:t>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792" w:type="pct"/>
            <w:vMerge w:val="continue"/>
            <w:tcBorders>
              <w:top w:val="nil"/>
              <w:bottom w:val="nil"/>
              <w:right w:val="single" w:color="000000" w:sz="10" w:space="0"/>
              <w:tl2br w:val="single" w:color="000000" w:sz="2" w:space="0"/>
            </w:tcBorders>
            <w:vAlign w:val="center"/>
          </w:tcPr>
          <w:p>
            <w:pPr>
              <w:ind w:firstLine="0" w:firstLineChars="0"/>
              <w:jc w:val="center"/>
              <w:rPr>
                <w:color w:val="auto"/>
                <w:sz w:val="21"/>
                <w:szCs w:val="21"/>
              </w:rPr>
            </w:pPr>
          </w:p>
        </w:tc>
        <w:tc>
          <w:tcPr>
            <w:tcW w:w="3207" w:type="pct"/>
            <w:gridSpan w:val="2"/>
            <w:tcBorders>
              <w:left w:val="single" w:color="000000" w:sz="10" w:space="0"/>
              <w:right w:val="single" w:color="000000" w:sz="10" w:space="0"/>
            </w:tcBorders>
            <w:vAlign w:val="center"/>
          </w:tcPr>
          <w:p>
            <w:pPr>
              <w:ind w:firstLine="0" w:firstLineChars="0"/>
              <w:jc w:val="center"/>
              <w:rPr>
                <w:color w:val="auto"/>
                <w:sz w:val="21"/>
                <w:szCs w:val="21"/>
              </w:rPr>
            </w:pPr>
            <w:r>
              <w:rPr>
                <w:rFonts w:hint="eastAsia"/>
                <w:color w:val="auto"/>
                <w:sz w:val="21"/>
                <w:szCs w:val="21"/>
              </w:rPr>
              <w:t>TSP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jc w:val="center"/>
        </w:trPr>
        <w:tc>
          <w:tcPr>
            <w:tcW w:w="1792" w:type="pct"/>
            <w:vMerge w:val="continue"/>
            <w:tcBorders>
              <w:top w:val="nil"/>
              <w:right w:val="single" w:color="000000" w:sz="10" w:space="0"/>
              <w:tl2br w:val="single" w:color="000000" w:sz="2" w:space="0"/>
            </w:tcBorders>
            <w:vAlign w:val="center"/>
          </w:tcPr>
          <w:p>
            <w:pPr>
              <w:ind w:firstLine="0" w:firstLineChars="0"/>
              <w:jc w:val="center"/>
              <w:rPr>
                <w:color w:val="auto"/>
                <w:sz w:val="21"/>
                <w:szCs w:val="21"/>
              </w:rPr>
            </w:pPr>
          </w:p>
        </w:tc>
        <w:tc>
          <w:tcPr>
            <w:tcW w:w="2053" w:type="pct"/>
            <w:tcBorders>
              <w:left w:val="single" w:color="000000" w:sz="10" w:space="0"/>
              <w:right w:val="single" w:color="000000" w:sz="10" w:space="0"/>
            </w:tcBorders>
            <w:vAlign w:val="center"/>
          </w:tcPr>
          <w:p>
            <w:pPr>
              <w:ind w:firstLine="0" w:firstLineChars="0"/>
              <w:jc w:val="center"/>
              <w:rPr>
                <w:color w:val="auto"/>
                <w:sz w:val="21"/>
                <w:szCs w:val="21"/>
              </w:rPr>
            </w:pPr>
            <w:r>
              <w:rPr>
                <w:color w:val="auto"/>
                <w:sz w:val="21"/>
                <w:szCs w:val="21"/>
              </w:rPr>
              <w:t>Ci(ug/m</w:t>
            </w:r>
            <w:r>
              <w:rPr>
                <w:color w:val="auto"/>
                <w:sz w:val="21"/>
                <w:szCs w:val="21"/>
                <w:vertAlign w:val="superscript"/>
              </w:rPr>
              <w:t>3</w:t>
            </w:r>
            <w:r>
              <w:rPr>
                <w:color w:val="auto"/>
                <w:sz w:val="21"/>
                <w:szCs w:val="21"/>
              </w:rPr>
              <w:t>)</w:t>
            </w:r>
          </w:p>
        </w:tc>
        <w:tc>
          <w:tcPr>
            <w:tcW w:w="1153" w:type="pct"/>
            <w:tcBorders>
              <w:left w:val="single" w:color="000000" w:sz="10" w:space="0"/>
              <w:right w:val="single" w:color="000000" w:sz="10" w:space="0"/>
            </w:tcBorders>
            <w:vAlign w:val="center"/>
          </w:tcPr>
          <w:p>
            <w:pPr>
              <w:ind w:firstLine="0" w:firstLineChars="0"/>
              <w:jc w:val="center"/>
              <w:rPr>
                <w:color w:val="auto"/>
                <w:sz w:val="21"/>
                <w:szCs w:val="21"/>
              </w:rPr>
            </w:pPr>
            <w:r>
              <w:rPr>
                <w:color w:val="auto"/>
                <w:sz w:val="21"/>
                <w:szCs w:val="21"/>
              </w:rPr>
              <w:t>Pi(%)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792" w:type="pct"/>
            <w:tcBorders>
              <w:right w:val="single" w:color="000000" w:sz="10" w:space="0"/>
            </w:tcBorders>
            <w:vAlign w:val="center"/>
          </w:tcPr>
          <w:p>
            <w:pPr>
              <w:ind w:firstLine="0" w:firstLineChars="0"/>
              <w:jc w:val="center"/>
              <w:rPr>
                <w:color w:val="auto"/>
                <w:sz w:val="21"/>
                <w:szCs w:val="21"/>
              </w:rPr>
            </w:pPr>
            <w:r>
              <w:rPr>
                <w:color w:val="auto"/>
                <w:sz w:val="21"/>
                <w:szCs w:val="21"/>
              </w:rPr>
              <w:t>25</w:t>
            </w:r>
          </w:p>
        </w:tc>
        <w:tc>
          <w:tcPr>
            <w:tcW w:w="3425"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2.0292</w:t>
            </w:r>
          </w:p>
        </w:tc>
        <w:tc>
          <w:tcPr>
            <w:tcW w:w="1925"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0.2256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792" w:type="pct"/>
            <w:tcBorders>
              <w:right w:val="single" w:color="000000" w:sz="10" w:space="0"/>
            </w:tcBorders>
            <w:vAlign w:val="center"/>
          </w:tcPr>
          <w:p>
            <w:pPr>
              <w:ind w:firstLine="0" w:firstLineChars="0"/>
              <w:jc w:val="center"/>
              <w:rPr>
                <w:color w:val="auto"/>
                <w:sz w:val="21"/>
                <w:szCs w:val="21"/>
              </w:rPr>
            </w:pPr>
            <w:r>
              <w:rPr>
                <w:color w:val="auto"/>
                <w:sz w:val="21"/>
                <w:szCs w:val="21"/>
              </w:rPr>
              <w:t>50</w:t>
            </w:r>
          </w:p>
        </w:tc>
        <w:tc>
          <w:tcPr>
            <w:tcW w:w="3425"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2.5176</w:t>
            </w:r>
          </w:p>
        </w:tc>
        <w:tc>
          <w:tcPr>
            <w:tcW w:w="1925"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0.2796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792" w:type="pct"/>
            <w:tcBorders>
              <w:right w:val="single" w:color="000000" w:sz="10" w:space="0"/>
            </w:tcBorders>
            <w:vAlign w:val="center"/>
          </w:tcPr>
          <w:p>
            <w:pPr>
              <w:ind w:firstLine="0" w:firstLineChars="0"/>
              <w:jc w:val="center"/>
              <w:rPr>
                <w:color w:val="auto"/>
                <w:sz w:val="21"/>
                <w:szCs w:val="21"/>
              </w:rPr>
            </w:pPr>
            <w:r>
              <w:rPr>
                <w:color w:val="auto"/>
                <w:sz w:val="21"/>
                <w:szCs w:val="21"/>
              </w:rPr>
              <w:t>75</w:t>
            </w:r>
          </w:p>
        </w:tc>
        <w:tc>
          <w:tcPr>
            <w:tcW w:w="3425"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2.916</w:t>
            </w:r>
          </w:p>
        </w:tc>
        <w:tc>
          <w:tcPr>
            <w:tcW w:w="1925"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0.324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792" w:type="pct"/>
            <w:tcBorders>
              <w:right w:val="single" w:color="000000" w:sz="10" w:space="0"/>
            </w:tcBorders>
            <w:vAlign w:val="center"/>
          </w:tcPr>
          <w:p>
            <w:pPr>
              <w:ind w:firstLine="0" w:firstLineChars="0"/>
              <w:jc w:val="center"/>
              <w:rPr>
                <w:color w:val="auto"/>
                <w:sz w:val="21"/>
                <w:szCs w:val="21"/>
              </w:rPr>
            </w:pPr>
            <w:r>
              <w:rPr>
                <w:color w:val="auto"/>
                <w:sz w:val="21"/>
                <w:szCs w:val="21"/>
              </w:rPr>
              <w:t>100</w:t>
            </w:r>
          </w:p>
        </w:tc>
        <w:tc>
          <w:tcPr>
            <w:tcW w:w="3425"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3.2352</w:t>
            </w:r>
          </w:p>
        </w:tc>
        <w:tc>
          <w:tcPr>
            <w:tcW w:w="1925"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792" w:type="pct"/>
            <w:tcBorders>
              <w:right w:val="single" w:color="000000" w:sz="10" w:space="0"/>
            </w:tcBorders>
            <w:vAlign w:val="center"/>
          </w:tcPr>
          <w:p>
            <w:pPr>
              <w:ind w:firstLine="0" w:firstLineChars="0"/>
              <w:jc w:val="center"/>
              <w:rPr>
                <w:color w:val="auto"/>
                <w:sz w:val="21"/>
                <w:szCs w:val="21"/>
              </w:rPr>
            </w:pPr>
            <w:r>
              <w:rPr>
                <w:color w:val="auto"/>
                <w:sz w:val="21"/>
                <w:szCs w:val="21"/>
              </w:rPr>
              <w:t>125</w:t>
            </w:r>
          </w:p>
        </w:tc>
        <w:tc>
          <w:tcPr>
            <w:tcW w:w="3425"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3.0756</w:t>
            </w:r>
          </w:p>
        </w:tc>
        <w:tc>
          <w:tcPr>
            <w:tcW w:w="1925"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0.342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792" w:type="pct"/>
            <w:tcBorders>
              <w:right w:val="single" w:color="000000" w:sz="10" w:space="0"/>
            </w:tcBorders>
            <w:vAlign w:val="center"/>
          </w:tcPr>
          <w:p>
            <w:pPr>
              <w:ind w:firstLine="0" w:firstLineChars="0"/>
              <w:jc w:val="center"/>
              <w:rPr>
                <w:color w:val="auto"/>
                <w:sz w:val="21"/>
                <w:szCs w:val="21"/>
              </w:rPr>
            </w:pPr>
            <w:r>
              <w:rPr>
                <w:color w:val="auto"/>
                <w:sz w:val="21"/>
                <w:szCs w:val="21"/>
              </w:rPr>
              <w:t>150</w:t>
            </w:r>
          </w:p>
        </w:tc>
        <w:tc>
          <w:tcPr>
            <w:tcW w:w="3425"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2.7708</w:t>
            </w:r>
          </w:p>
        </w:tc>
        <w:tc>
          <w:tcPr>
            <w:tcW w:w="1925"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0.3084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792" w:type="pct"/>
            <w:tcBorders>
              <w:right w:val="single" w:color="000000" w:sz="10" w:space="0"/>
            </w:tcBorders>
            <w:vAlign w:val="center"/>
          </w:tcPr>
          <w:p>
            <w:pPr>
              <w:ind w:firstLine="0" w:firstLineChars="0"/>
              <w:jc w:val="center"/>
              <w:rPr>
                <w:color w:val="auto"/>
                <w:sz w:val="21"/>
                <w:szCs w:val="21"/>
              </w:rPr>
            </w:pPr>
            <w:r>
              <w:rPr>
                <w:color w:val="auto"/>
                <w:sz w:val="21"/>
                <w:szCs w:val="21"/>
              </w:rPr>
              <w:t>200</w:t>
            </w:r>
          </w:p>
        </w:tc>
        <w:tc>
          <w:tcPr>
            <w:tcW w:w="3425"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2.1828</w:t>
            </w:r>
          </w:p>
        </w:tc>
        <w:tc>
          <w:tcPr>
            <w:tcW w:w="1925"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0.2424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792" w:type="pct"/>
            <w:tcBorders>
              <w:right w:val="single" w:color="000000" w:sz="10" w:space="0"/>
            </w:tcBorders>
            <w:vAlign w:val="center"/>
          </w:tcPr>
          <w:p>
            <w:pPr>
              <w:ind w:firstLine="0" w:firstLineChars="0"/>
              <w:jc w:val="center"/>
              <w:rPr>
                <w:color w:val="auto"/>
                <w:sz w:val="21"/>
                <w:szCs w:val="21"/>
              </w:rPr>
            </w:pPr>
            <w:r>
              <w:rPr>
                <w:color w:val="auto"/>
                <w:sz w:val="21"/>
                <w:szCs w:val="21"/>
              </w:rPr>
              <w:t>300</w:t>
            </w:r>
          </w:p>
        </w:tc>
        <w:tc>
          <w:tcPr>
            <w:tcW w:w="3425"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1.4292</w:t>
            </w:r>
          </w:p>
        </w:tc>
        <w:tc>
          <w:tcPr>
            <w:tcW w:w="1925"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0.1584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792" w:type="pct"/>
            <w:tcBorders>
              <w:right w:val="single" w:color="000000" w:sz="10" w:space="0"/>
            </w:tcBorders>
            <w:vAlign w:val="center"/>
          </w:tcPr>
          <w:p>
            <w:pPr>
              <w:ind w:firstLine="0" w:firstLineChars="0"/>
              <w:jc w:val="center"/>
              <w:rPr>
                <w:color w:val="auto"/>
                <w:sz w:val="21"/>
                <w:szCs w:val="21"/>
              </w:rPr>
            </w:pPr>
            <w:r>
              <w:rPr>
                <w:color w:val="auto"/>
                <w:sz w:val="21"/>
                <w:szCs w:val="21"/>
              </w:rPr>
              <w:t>500</w:t>
            </w:r>
          </w:p>
        </w:tc>
        <w:tc>
          <w:tcPr>
            <w:tcW w:w="3425"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0.77712</w:t>
            </w:r>
          </w:p>
        </w:tc>
        <w:tc>
          <w:tcPr>
            <w:tcW w:w="1925"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0.0864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1792" w:type="pct"/>
            <w:tcBorders>
              <w:right w:val="single" w:color="000000" w:sz="10" w:space="0"/>
            </w:tcBorders>
            <w:vAlign w:val="center"/>
          </w:tcPr>
          <w:p>
            <w:pPr>
              <w:ind w:firstLine="0" w:firstLineChars="0"/>
              <w:jc w:val="center"/>
              <w:rPr>
                <w:color w:val="auto"/>
                <w:sz w:val="21"/>
                <w:szCs w:val="21"/>
              </w:rPr>
            </w:pPr>
            <w:r>
              <w:rPr>
                <w:color w:val="auto"/>
                <w:sz w:val="21"/>
                <w:szCs w:val="21"/>
              </w:rPr>
              <w:t>800</w:t>
            </w:r>
          </w:p>
        </w:tc>
        <w:tc>
          <w:tcPr>
            <w:tcW w:w="3425"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0.42756</w:t>
            </w:r>
          </w:p>
        </w:tc>
        <w:tc>
          <w:tcPr>
            <w:tcW w:w="1925"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792" w:type="pct"/>
            <w:tcBorders>
              <w:right w:val="single" w:color="000000" w:sz="10" w:space="0"/>
            </w:tcBorders>
            <w:vAlign w:val="center"/>
          </w:tcPr>
          <w:p>
            <w:pPr>
              <w:ind w:firstLine="0" w:firstLineChars="0"/>
              <w:jc w:val="center"/>
              <w:rPr>
                <w:color w:val="auto"/>
                <w:sz w:val="21"/>
                <w:szCs w:val="21"/>
              </w:rPr>
            </w:pPr>
            <w:r>
              <w:rPr>
                <w:color w:val="auto"/>
                <w:sz w:val="21"/>
                <w:szCs w:val="21"/>
              </w:rPr>
              <w:t>1000</w:t>
            </w:r>
          </w:p>
        </w:tc>
        <w:tc>
          <w:tcPr>
            <w:tcW w:w="3425"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0.32076</w:t>
            </w:r>
          </w:p>
        </w:tc>
        <w:tc>
          <w:tcPr>
            <w:tcW w:w="1925"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792" w:type="pct"/>
            <w:tcBorders>
              <w:right w:val="single" w:color="000000" w:sz="10" w:space="0"/>
            </w:tcBorders>
            <w:vAlign w:val="center"/>
          </w:tcPr>
          <w:p>
            <w:pPr>
              <w:ind w:firstLine="0" w:firstLineChars="0"/>
              <w:jc w:val="center"/>
              <w:rPr>
                <w:color w:val="auto"/>
                <w:sz w:val="21"/>
                <w:szCs w:val="21"/>
              </w:rPr>
            </w:pPr>
            <w:r>
              <w:rPr>
                <w:color w:val="auto"/>
                <w:sz w:val="21"/>
                <w:szCs w:val="21"/>
              </w:rPr>
              <w:t>1300</w:t>
            </w:r>
          </w:p>
        </w:tc>
        <w:tc>
          <w:tcPr>
            <w:tcW w:w="3425"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0.23124</w:t>
            </w:r>
          </w:p>
        </w:tc>
        <w:tc>
          <w:tcPr>
            <w:tcW w:w="1925"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0.0252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792" w:type="pct"/>
            <w:tcBorders>
              <w:right w:val="single" w:color="000000" w:sz="10" w:space="0"/>
            </w:tcBorders>
            <w:vAlign w:val="center"/>
          </w:tcPr>
          <w:p>
            <w:pPr>
              <w:ind w:firstLine="0" w:firstLineChars="0"/>
              <w:jc w:val="center"/>
              <w:rPr>
                <w:color w:val="auto"/>
                <w:sz w:val="21"/>
                <w:szCs w:val="21"/>
              </w:rPr>
            </w:pPr>
            <w:r>
              <w:rPr>
                <w:color w:val="auto"/>
                <w:sz w:val="21"/>
                <w:szCs w:val="21"/>
              </w:rPr>
              <w:t>1600</w:t>
            </w:r>
          </w:p>
        </w:tc>
        <w:tc>
          <w:tcPr>
            <w:tcW w:w="3425"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0.17796</w:t>
            </w:r>
          </w:p>
        </w:tc>
        <w:tc>
          <w:tcPr>
            <w:tcW w:w="1925"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0.0192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792" w:type="pct"/>
            <w:tcBorders>
              <w:right w:val="single" w:color="000000" w:sz="10" w:space="0"/>
            </w:tcBorders>
            <w:vAlign w:val="center"/>
          </w:tcPr>
          <w:p>
            <w:pPr>
              <w:ind w:firstLine="0" w:firstLineChars="0"/>
              <w:jc w:val="center"/>
              <w:rPr>
                <w:color w:val="auto"/>
                <w:sz w:val="21"/>
                <w:szCs w:val="21"/>
              </w:rPr>
            </w:pPr>
            <w:r>
              <w:rPr>
                <w:color w:val="auto"/>
                <w:sz w:val="21"/>
                <w:szCs w:val="21"/>
              </w:rPr>
              <w:t>1800</w:t>
            </w:r>
          </w:p>
        </w:tc>
        <w:tc>
          <w:tcPr>
            <w:tcW w:w="3425"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0.15228</w:t>
            </w:r>
          </w:p>
        </w:tc>
        <w:tc>
          <w:tcPr>
            <w:tcW w:w="1925"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0.0168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792" w:type="pct"/>
            <w:tcBorders>
              <w:right w:val="single" w:color="000000" w:sz="10" w:space="0"/>
            </w:tcBorders>
            <w:vAlign w:val="center"/>
          </w:tcPr>
          <w:p>
            <w:pPr>
              <w:ind w:firstLine="0" w:firstLineChars="0"/>
              <w:jc w:val="center"/>
              <w:rPr>
                <w:color w:val="auto"/>
                <w:sz w:val="21"/>
                <w:szCs w:val="21"/>
              </w:rPr>
            </w:pPr>
            <w:r>
              <w:rPr>
                <w:color w:val="auto"/>
                <w:sz w:val="21"/>
                <w:szCs w:val="21"/>
              </w:rPr>
              <w:t>2000</w:t>
            </w:r>
          </w:p>
        </w:tc>
        <w:tc>
          <w:tcPr>
            <w:tcW w:w="3425"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0.13032</w:t>
            </w:r>
          </w:p>
        </w:tc>
        <w:tc>
          <w:tcPr>
            <w:tcW w:w="1925"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0.0144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792" w:type="pct"/>
            <w:tcBorders>
              <w:right w:val="single" w:color="000000" w:sz="10" w:space="0"/>
            </w:tcBorders>
            <w:vAlign w:val="center"/>
          </w:tcPr>
          <w:p>
            <w:pPr>
              <w:ind w:firstLine="0" w:firstLineChars="0"/>
              <w:jc w:val="center"/>
              <w:rPr>
                <w:color w:val="auto"/>
                <w:sz w:val="21"/>
                <w:szCs w:val="21"/>
              </w:rPr>
            </w:pPr>
            <w:r>
              <w:rPr>
                <w:color w:val="auto"/>
                <w:sz w:val="21"/>
                <w:szCs w:val="21"/>
              </w:rPr>
              <w:t>2300</w:t>
            </w:r>
          </w:p>
        </w:tc>
        <w:tc>
          <w:tcPr>
            <w:tcW w:w="3425"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0.11016</w:t>
            </w:r>
          </w:p>
        </w:tc>
        <w:tc>
          <w:tcPr>
            <w:tcW w:w="1925"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792" w:type="pct"/>
            <w:tcBorders>
              <w:right w:val="single" w:color="000000" w:sz="10" w:space="0"/>
            </w:tcBorders>
            <w:vAlign w:val="center"/>
          </w:tcPr>
          <w:p>
            <w:pPr>
              <w:ind w:firstLine="0" w:firstLineChars="0"/>
              <w:jc w:val="center"/>
              <w:rPr>
                <w:color w:val="auto"/>
                <w:sz w:val="21"/>
                <w:szCs w:val="21"/>
              </w:rPr>
            </w:pPr>
            <w:r>
              <w:rPr>
                <w:color w:val="auto"/>
                <w:sz w:val="21"/>
                <w:szCs w:val="21"/>
              </w:rPr>
              <w:t>2500</w:t>
            </w:r>
          </w:p>
        </w:tc>
        <w:tc>
          <w:tcPr>
            <w:tcW w:w="3425"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0.09864</w:t>
            </w:r>
          </w:p>
        </w:tc>
        <w:tc>
          <w:tcPr>
            <w:tcW w:w="1925"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0.0108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1792" w:type="pct"/>
            <w:tcBorders>
              <w:right w:val="single" w:color="000000" w:sz="10" w:space="0"/>
            </w:tcBorders>
            <w:vAlign w:val="center"/>
          </w:tcPr>
          <w:p>
            <w:pPr>
              <w:ind w:firstLine="0" w:firstLineChars="0"/>
              <w:jc w:val="center"/>
              <w:rPr>
                <w:color w:val="auto"/>
                <w:sz w:val="21"/>
                <w:szCs w:val="21"/>
              </w:rPr>
            </w:pPr>
            <w:r>
              <w:rPr>
                <w:color w:val="auto"/>
                <w:sz w:val="21"/>
                <w:szCs w:val="21"/>
              </w:rPr>
              <w:t>最大落地浓度</w:t>
            </w:r>
          </w:p>
        </w:tc>
        <w:tc>
          <w:tcPr>
            <w:tcW w:w="3425"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3.2388</w:t>
            </w:r>
          </w:p>
        </w:tc>
        <w:tc>
          <w:tcPr>
            <w:tcW w:w="1925" w:type="dxa"/>
            <w:tcBorders>
              <w:left w:val="single" w:color="000000" w:sz="10" w:space="0"/>
              <w:right w:val="single" w:color="000000" w:sz="10" w:space="0"/>
            </w:tcBorders>
            <w:vAlign w:val="center"/>
          </w:tcPr>
          <w:p>
            <w:pPr>
              <w:widowControl/>
              <w:ind w:firstLine="0" w:firstLineChars="0"/>
              <w:jc w:val="center"/>
              <w:textAlignment w:val="center"/>
              <w:rPr>
                <w:color w:val="auto"/>
                <w:sz w:val="21"/>
                <w:szCs w:val="21"/>
              </w:rPr>
            </w:pPr>
            <w:r>
              <w:rPr>
                <w:color w:val="auto"/>
                <w:kern w:val="0"/>
                <w:sz w:val="21"/>
                <w:szCs w:val="21"/>
                <w:lang w:bidi="ar"/>
              </w:rPr>
              <w:t>0.36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1792" w:type="pct"/>
            <w:tcBorders>
              <w:left w:val="single" w:color="000000" w:sz="2" w:space="0"/>
              <w:bottom w:val="single" w:color="000000" w:sz="2" w:space="0"/>
            </w:tcBorders>
            <w:vAlign w:val="center"/>
          </w:tcPr>
          <w:p>
            <w:pPr>
              <w:ind w:firstLine="0" w:firstLineChars="0"/>
              <w:jc w:val="center"/>
              <w:rPr>
                <w:color w:val="auto"/>
                <w:sz w:val="21"/>
                <w:szCs w:val="21"/>
              </w:rPr>
            </w:pPr>
            <w:r>
              <w:rPr>
                <w:color w:val="auto"/>
                <w:sz w:val="21"/>
                <w:szCs w:val="21"/>
              </w:rPr>
              <w:t>出现距离/m</w:t>
            </w:r>
          </w:p>
        </w:tc>
        <w:tc>
          <w:tcPr>
            <w:tcW w:w="3207" w:type="pct"/>
            <w:gridSpan w:val="2"/>
            <w:tcBorders>
              <w:bottom w:val="single" w:color="000000" w:sz="2" w:space="0"/>
            </w:tcBorders>
            <w:vAlign w:val="center"/>
          </w:tcPr>
          <w:p>
            <w:pPr>
              <w:ind w:firstLine="0" w:firstLineChars="0"/>
              <w:jc w:val="center"/>
              <w:rPr>
                <w:color w:val="auto"/>
                <w:sz w:val="21"/>
                <w:szCs w:val="21"/>
              </w:rPr>
            </w:pPr>
            <w:r>
              <w:rPr>
                <w:rFonts w:hint="eastAsia"/>
                <w:color w:val="auto"/>
                <w:sz w:val="21"/>
                <w:szCs w:val="21"/>
              </w:rPr>
              <w:t>105</w:t>
            </w:r>
          </w:p>
        </w:tc>
      </w:tr>
    </w:tbl>
    <w:p>
      <w:pPr>
        <w:pStyle w:val="2"/>
        <w:ind w:firstLine="480"/>
        <w:rPr>
          <w:color w:val="auto"/>
          <w:sz w:val="24"/>
        </w:rPr>
      </w:pPr>
    </w:p>
    <w:p>
      <w:pPr>
        <w:ind w:firstLine="480"/>
        <w:rPr>
          <w:color w:val="auto"/>
        </w:rPr>
      </w:pPr>
      <w:r>
        <w:rPr>
          <w:color w:val="auto"/>
        </w:rPr>
        <w:t>估算模式已考虑了最不利的气象条件。由表</w:t>
      </w:r>
      <w:r>
        <w:rPr>
          <w:rFonts w:hint="eastAsia"/>
          <w:color w:val="auto"/>
        </w:rPr>
        <w:t>5-6至表5-8</w:t>
      </w:r>
      <w:r>
        <w:rPr>
          <w:color w:val="auto"/>
        </w:rPr>
        <w:t>可以看出，正常工况下，排放的大气污染物贡献值较小，污染物最大占标率为</w:t>
      </w:r>
      <w:r>
        <w:rPr>
          <w:rFonts w:hint="eastAsia"/>
          <w:color w:val="auto"/>
        </w:rPr>
        <w:t>0.36</w:t>
      </w:r>
      <w:r>
        <w:rPr>
          <w:color w:val="auto"/>
        </w:rPr>
        <w:t>%＜10%，各污染物下风向最大浓度均小于标准 要求，因此，项目正常情况排放的大气污染物对大气环境影响较小。</w:t>
      </w:r>
    </w:p>
    <w:p>
      <w:pPr>
        <w:pStyle w:val="5"/>
        <w:tabs>
          <w:tab w:val="left" w:pos="3949"/>
        </w:tabs>
        <w:ind w:firstLine="281"/>
        <w:rPr>
          <w:color w:val="auto"/>
        </w:rPr>
      </w:pPr>
      <w:r>
        <w:rPr>
          <w:rFonts w:hint="eastAsia"/>
          <w:color w:val="auto"/>
        </w:rPr>
        <w:t>5.6大气环境防护距离</w:t>
      </w:r>
    </w:p>
    <w:p>
      <w:pPr>
        <w:ind w:firstLine="480"/>
        <w:rPr>
          <w:color w:val="auto"/>
        </w:rPr>
      </w:pPr>
      <w:r>
        <w:rPr>
          <w:color w:val="auto"/>
        </w:rPr>
        <w:t>本项目大气无组织污染物下风向最大占标率均小于相应环境质量标准的 10%，项目厂界浓度满足大气污染物厂界浓度限值，且厂界外大气污染物短期贡献浓度不超过环境质量浓度限值，所以本项目不需要设置大气环境防护距离。</w:t>
      </w:r>
    </w:p>
    <w:p>
      <w:pPr>
        <w:pStyle w:val="5"/>
        <w:tabs>
          <w:tab w:val="left" w:pos="3949"/>
        </w:tabs>
        <w:ind w:firstLine="281"/>
        <w:rPr>
          <w:color w:val="auto"/>
        </w:rPr>
      </w:pPr>
      <w:r>
        <w:rPr>
          <w:rFonts w:hint="eastAsia"/>
          <w:color w:val="auto"/>
        </w:rPr>
        <w:t>5.7污染物排放量核算</w:t>
      </w:r>
    </w:p>
    <w:p>
      <w:pPr>
        <w:pStyle w:val="40"/>
        <w:ind w:firstLine="480"/>
        <w:rPr>
          <w:rFonts w:hint="eastAsia"/>
          <w:color w:val="auto"/>
        </w:rPr>
      </w:pPr>
      <w:r>
        <w:rPr>
          <w:color w:val="auto"/>
        </w:rPr>
        <w:t>大气污染物有组织排放量核算情况见表</w:t>
      </w:r>
      <w:r>
        <w:rPr>
          <w:rFonts w:hint="eastAsia"/>
          <w:color w:val="auto"/>
        </w:rPr>
        <w:t>5-9</w:t>
      </w:r>
      <w:r>
        <w:rPr>
          <w:color w:val="auto"/>
        </w:rPr>
        <w:t>。</w:t>
      </w:r>
    </w:p>
    <w:p>
      <w:pPr>
        <w:pStyle w:val="77"/>
        <w:spacing w:line="360" w:lineRule="auto"/>
        <w:ind w:firstLine="482"/>
        <w:rPr>
          <w:rFonts w:hint="eastAsia"/>
          <w:color w:val="auto"/>
        </w:rPr>
      </w:pPr>
      <w:r>
        <w:rPr>
          <w:color w:val="auto"/>
        </w:rPr>
        <w:t>表</w:t>
      </w:r>
      <w:r>
        <w:rPr>
          <w:rFonts w:hint="eastAsia"/>
          <w:color w:val="auto"/>
        </w:rPr>
        <w:t>5-9</w:t>
      </w:r>
      <w:r>
        <w:rPr>
          <w:color w:val="auto"/>
        </w:rPr>
        <w:t>大气污染物有组织排放量核算表</w:t>
      </w:r>
    </w:p>
    <w:tbl>
      <w:tblPr>
        <w:tblStyle w:val="31"/>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341"/>
        <w:gridCol w:w="1271"/>
        <w:gridCol w:w="1358"/>
        <w:gridCol w:w="1371"/>
        <w:gridCol w:w="1363"/>
        <w:gridCol w:w="138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0" w:type="pct"/>
            <w:vAlign w:val="center"/>
          </w:tcPr>
          <w:p>
            <w:pPr>
              <w:adjustRightInd w:val="0"/>
              <w:snapToGrid w:val="0"/>
              <w:ind w:firstLine="0" w:firstLineChars="0"/>
              <w:jc w:val="center"/>
              <w:rPr>
                <w:color w:val="auto"/>
                <w:sz w:val="21"/>
                <w:szCs w:val="21"/>
              </w:rPr>
            </w:pPr>
            <w:r>
              <w:rPr>
                <w:color w:val="auto"/>
                <w:sz w:val="21"/>
                <w:szCs w:val="21"/>
              </w:rPr>
              <w:t>序号</w:t>
            </w:r>
          </w:p>
        </w:tc>
        <w:tc>
          <w:tcPr>
            <w:tcW w:w="787" w:type="pct"/>
            <w:vAlign w:val="center"/>
          </w:tcPr>
          <w:p>
            <w:pPr>
              <w:adjustRightInd w:val="0"/>
              <w:snapToGrid w:val="0"/>
              <w:ind w:firstLine="0" w:firstLineChars="0"/>
              <w:jc w:val="center"/>
              <w:rPr>
                <w:color w:val="auto"/>
                <w:sz w:val="21"/>
                <w:szCs w:val="21"/>
              </w:rPr>
            </w:pPr>
            <w:r>
              <w:rPr>
                <w:color w:val="auto"/>
                <w:sz w:val="21"/>
                <w:szCs w:val="21"/>
              </w:rPr>
              <w:t>排放口编号</w:t>
            </w:r>
          </w:p>
        </w:tc>
        <w:tc>
          <w:tcPr>
            <w:tcW w:w="746" w:type="pct"/>
            <w:vAlign w:val="center"/>
          </w:tcPr>
          <w:p>
            <w:pPr>
              <w:adjustRightInd w:val="0"/>
              <w:snapToGrid w:val="0"/>
              <w:ind w:firstLine="0" w:firstLineChars="0"/>
              <w:jc w:val="center"/>
              <w:rPr>
                <w:color w:val="auto"/>
                <w:sz w:val="21"/>
                <w:szCs w:val="21"/>
              </w:rPr>
            </w:pPr>
            <w:r>
              <w:rPr>
                <w:color w:val="auto"/>
                <w:sz w:val="21"/>
                <w:szCs w:val="21"/>
              </w:rPr>
              <w:t>污染物</w:t>
            </w:r>
          </w:p>
        </w:tc>
        <w:tc>
          <w:tcPr>
            <w:tcW w:w="797" w:type="pct"/>
            <w:vAlign w:val="center"/>
          </w:tcPr>
          <w:p>
            <w:pPr>
              <w:adjustRightInd w:val="0"/>
              <w:snapToGrid w:val="0"/>
              <w:ind w:firstLine="0" w:firstLineChars="0"/>
              <w:jc w:val="center"/>
              <w:rPr>
                <w:color w:val="auto"/>
                <w:sz w:val="21"/>
                <w:szCs w:val="21"/>
              </w:rPr>
            </w:pPr>
            <w:r>
              <w:rPr>
                <w:color w:val="auto"/>
                <w:sz w:val="21"/>
                <w:szCs w:val="21"/>
              </w:rPr>
              <w:t>核算排放浓度(mg/m</w:t>
            </w:r>
            <w:r>
              <w:rPr>
                <w:color w:val="auto"/>
                <w:sz w:val="21"/>
                <w:szCs w:val="21"/>
                <w:vertAlign w:val="superscript"/>
              </w:rPr>
              <w:t>3</w:t>
            </w:r>
            <w:r>
              <w:rPr>
                <w:color w:val="auto"/>
                <w:sz w:val="21"/>
                <w:szCs w:val="21"/>
              </w:rPr>
              <w:t>)</w:t>
            </w:r>
          </w:p>
        </w:tc>
        <w:tc>
          <w:tcPr>
            <w:tcW w:w="804" w:type="pct"/>
            <w:vAlign w:val="center"/>
          </w:tcPr>
          <w:p>
            <w:pPr>
              <w:adjustRightInd w:val="0"/>
              <w:snapToGrid w:val="0"/>
              <w:ind w:firstLine="0" w:firstLineChars="0"/>
              <w:jc w:val="center"/>
              <w:rPr>
                <w:color w:val="auto"/>
                <w:sz w:val="21"/>
                <w:szCs w:val="21"/>
              </w:rPr>
            </w:pPr>
            <w:r>
              <w:rPr>
                <w:color w:val="auto"/>
                <w:sz w:val="21"/>
                <w:szCs w:val="21"/>
              </w:rPr>
              <w:t>核算排放速率（kg/h）</w:t>
            </w:r>
          </w:p>
        </w:tc>
        <w:tc>
          <w:tcPr>
            <w:tcW w:w="800" w:type="pct"/>
            <w:vAlign w:val="center"/>
          </w:tcPr>
          <w:p>
            <w:pPr>
              <w:adjustRightInd w:val="0"/>
              <w:snapToGrid w:val="0"/>
              <w:ind w:firstLine="0" w:firstLineChars="0"/>
              <w:jc w:val="center"/>
              <w:rPr>
                <w:color w:val="auto"/>
                <w:sz w:val="21"/>
                <w:szCs w:val="21"/>
              </w:rPr>
            </w:pPr>
            <w:r>
              <w:rPr>
                <w:color w:val="auto"/>
                <w:sz w:val="21"/>
                <w:szCs w:val="21"/>
              </w:rPr>
              <w:t>核算年排放量（t/a）</w:t>
            </w:r>
          </w:p>
        </w:tc>
        <w:tc>
          <w:tcPr>
            <w:tcW w:w="813" w:type="pct"/>
            <w:vAlign w:val="center"/>
          </w:tcPr>
          <w:p>
            <w:pPr>
              <w:adjustRightInd w:val="0"/>
              <w:snapToGrid w:val="0"/>
              <w:ind w:firstLine="0" w:firstLineChars="0"/>
              <w:jc w:val="center"/>
              <w:rPr>
                <w:color w:val="auto"/>
                <w:sz w:val="21"/>
                <w:szCs w:val="21"/>
              </w:rPr>
            </w:pPr>
            <w:r>
              <w:rPr>
                <w:rFonts w:hint="eastAsia"/>
                <w:color w:val="auto"/>
                <w:sz w:val="21"/>
                <w:szCs w:val="21"/>
              </w:rPr>
              <w:t>年排放时间（h）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7"/>
            <w:vAlign w:val="center"/>
          </w:tcPr>
          <w:p>
            <w:pPr>
              <w:adjustRightInd w:val="0"/>
              <w:snapToGrid w:val="0"/>
              <w:ind w:firstLine="0" w:firstLineChars="0"/>
              <w:jc w:val="center"/>
              <w:rPr>
                <w:color w:val="auto"/>
                <w:sz w:val="21"/>
                <w:szCs w:val="21"/>
              </w:rPr>
            </w:pPr>
            <w:r>
              <w:rPr>
                <w:color w:val="auto"/>
                <w:sz w:val="21"/>
                <w:szCs w:val="21"/>
              </w:rPr>
              <w:t>一般排放口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250" w:type="pct"/>
            <w:vMerge w:val="restart"/>
            <w:vAlign w:val="center"/>
          </w:tcPr>
          <w:p>
            <w:pPr>
              <w:adjustRightInd w:val="0"/>
              <w:snapToGrid w:val="0"/>
              <w:ind w:firstLine="0" w:firstLineChars="0"/>
              <w:jc w:val="center"/>
              <w:rPr>
                <w:color w:val="auto"/>
                <w:sz w:val="21"/>
                <w:szCs w:val="21"/>
              </w:rPr>
            </w:pPr>
            <w:r>
              <w:rPr>
                <w:color w:val="auto"/>
                <w:sz w:val="21"/>
                <w:szCs w:val="21"/>
              </w:rPr>
              <w:t>1</w:t>
            </w:r>
          </w:p>
        </w:tc>
        <w:tc>
          <w:tcPr>
            <w:tcW w:w="787" w:type="pct"/>
            <w:vMerge w:val="restart"/>
            <w:vAlign w:val="center"/>
          </w:tcPr>
          <w:p>
            <w:pPr>
              <w:ind w:firstLine="0" w:firstLineChars="0"/>
              <w:jc w:val="center"/>
              <w:rPr>
                <w:color w:val="auto"/>
                <w:sz w:val="21"/>
                <w:szCs w:val="21"/>
              </w:rPr>
            </w:pPr>
            <w:r>
              <w:rPr>
                <w:rFonts w:hint="eastAsia"/>
                <w:color w:val="auto"/>
                <w:sz w:val="21"/>
                <w:szCs w:val="21"/>
              </w:rPr>
              <w:t>DA001（导热油炉加热）</w:t>
            </w:r>
          </w:p>
        </w:tc>
        <w:tc>
          <w:tcPr>
            <w:tcW w:w="746" w:type="pct"/>
            <w:vAlign w:val="center"/>
          </w:tcPr>
          <w:p>
            <w:pPr>
              <w:adjustRightInd w:val="0"/>
              <w:snapToGrid w:val="0"/>
              <w:ind w:firstLine="0" w:firstLineChars="0"/>
              <w:jc w:val="center"/>
              <w:rPr>
                <w:color w:val="auto"/>
                <w:sz w:val="21"/>
                <w:szCs w:val="21"/>
              </w:rPr>
            </w:pPr>
            <w:r>
              <w:rPr>
                <w:rFonts w:hint="eastAsia"/>
                <w:color w:val="auto"/>
                <w:sz w:val="21"/>
                <w:szCs w:val="21"/>
              </w:rPr>
              <w:t>颗粒物</w:t>
            </w:r>
          </w:p>
        </w:tc>
        <w:tc>
          <w:tcPr>
            <w:tcW w:w="797" w:type="pct"/>
            <w:vAlign w:val="center"/>
          </w:tcPr>
          <w:p>
            <w:pPr>
              <w:snapToGrid w:val="0"/>
              <w:ind w:firstLine="0" w:firstLineChars="0"/>
              <w:jc w:val="center"/>
              <w:rPr>
                <w:color w:val="auto"/>
                <w:sz w:val="21"/>
                <w:szCs w:val="21"/>
              </w:rPr>
            </w:pPr>
            <w:r>
              <w:rPr>
                <w:rFonts w:hint="eastAsia"/>
                <w:color w:val="auto"/>
                <w:sz w:val="21"/>
                <w:szCs w:val="21"/>
              </w:rPr>
              <w:t>2.78</w:t>
            </w:r>
          </w:p>
        </w:tc>
        <w:tc>
          <w:tcPr>
            <w:tcW w:w="804" w:type="pct"/>
            <w:vAlign w:val="center"/>
          </w:tcPr>
          <w:p>
            <w:pPr>
              <w:widowControl/>
              <w:ind w:firstLine="0" w:firstLineChars="0"/>
              <w:jc w:val="center"/>
              <w:textAlignment w:val="center"/>
              <w:rPr>
                <w:color w:val="auto"/>
                <w:sz w:val="21"/>
                <w:szCs w:val="21"/>
              </w:rPr>
            </w:pPr>
            <w:r>
              <w:rPr>
                <w:color w:val="auto"/>
                <w:kern w:val="0"/>
                <w:sz w:val="21"/>
                <w:szCs w:val="21"/>
                <w:lang w:bidi="ar"/>
              </w:rPr>
              <w:t>0.003</w:t>
            </w:r>
          </w:p>
        </w:tc>
        <w:tc>
          <w:tcPr>
            <w:tcW w:w="800" w:type="pct"/>
            <w:vAlign w:val="center"/>
          </w:tcPr>
          <w:p>
            <w:pPr>
              <w:widowControl/>
              <w:ind w:firstLine="0" w:firstLineChars="0"/>
              <w:jc w:val="center"/>
              <w:textAlignment w:val="center"/>
              <w:rPr>
                <w:color w:val="auto"/>
                <w:sz w:val="21"/>
                <w:szCs w:val="21"/>
              </w:rPr>
            </w:pPr>
            <w:r>
              <w:rPr>
                <w:rFonts w:hint="eastAsia"/>
                <w:color w:val="auto"/>
                <w:sz w:val="21"/>
                <w:szCs w:val="21"/>
              </w:rPr>
              <w:t>0.008</w:t>
            </w:r>
          </w:p>
        </w:tc>
        <w:tc>
          <w:tcPr>
            <w:tcW w:w="813" w:type="pct"/>
            <w:vMerge w:val="restart"/>
            <w:vAlign w:val="center"/>
          </w:tcPr>
          <w:p>
            <w:pPr>
              <w:widowControl/>
              <w:ind w:firstLine="0" w:firstLineChars="0"/>
              <w:jc w:val="center"/>
              <w:textAlignment w:val="center"/>
              <w:rPr>
                <w:color w:val="auto"/>
                <w:sz w:val="21"/>
                <w:szCs w:val="21"/>
              </w:rPr>
            </w:pPr>
            <w:r>
              <w:rPr>
                <w:rFonts w:hint="eastAsia"/>
                <w:color w:val="auto"/>
                <w:sz w:val="21"/>
                <w:szCs w:val="21"/>
              </w:rPr>
              <w:t>2880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250" w:type="pct"/>
            <w:vMerge w:val="continue"/>
            <w:vAlign w:val="center"/>
          </w:tcPr>
          <w:p>
            <w:pPr>
              <w:adjustRightInd w:val="0"/>
              <w:snapToGrid w:val="0"/>
              <w:ind w:firstLine="0" w:firstLineChars="0"/>
              <w:jc w:val="center"/>
              <w:rPr>
                <w:color w:val="auto"/>
                <w:sz w:val="21"/>
                <w:szCs w:val="21"/>
              </w:rPr>
            </w:pPr>
          </w:p>
        </w:tc>
        <w:tc>
          <w:tcPr>
            <w:tcW w:w="787" w:type="pct"/>
            <w:vMerge w:val="continue"/>
            <w:vAlign w:val="center"/>
          </w:tcPr>
          <w:p>
            <w:pPr>
              <w:ind w:firstLine="0" w:firstLineChars="0"/>
              <w:jc w:val="center"/>
              <w:rPr>
                <w:color w:val="auto"/>
                <w:sz w:val="21"/>
                <w:szCs w:val="21"/>
              </w:rPr>
            </w:pPr>
          </w:p>
        </w:tc>
        <w:tc>
          <w:tcPr>
            <w:tcW w:w="746" w:type="pct"/>
            <w:vAlign w:val="center"/>
          </w:tcPr>
          <w:p>
            <w:pPr>
              <w:adjustRightInd w:val="0"/>
              <w:snapToGrid w:val="0"/>
              <w:ind w:firstLine="0" w:firstLineChars="0"/>
              <w:jc w:val="center"/>
              <w:rPr>
                <w:color w:val="auto"/>
                <w:sz w:val="21"/>
                <w:szCs w:val="21"/>
              </w:rPr>
            </w:pPr>
            <w:r>
              <w:rPr>
                <w:rFonts w:hint="eastAsia"/>
                <w:color w:val="auto"/>
                <w:sz w:val="21"/>
                <w:szCs w:val="21"/>
              </w:rPr>
              <w:t>SO</w:t>
            </w:r>
            <w:r>
              <w:rPr>
                <w:rFonts w:hint="eastAsia"/>
                <w:color w:val="auto"/>
                <w:sz w:val="21"/>
                <w:szCs w:val="21"/>
                <w:vertAlign w:val="subscript"/>
              </w:rPr>
              <w:t>2</w:t>
            </w:r>
          </w:p>
        </w:tc>
        <w:tc>
          <w:tcPr>
            <w:tcW w:w="797" w:type="pct"/>
            <w:vAlign w:val="center"/>
          </w:tcPr>
          <w:p>
            <w:pPr>
              <w:snapToGrid w:val="0"/>
              <w:ind w:firstLine="0" w:firstLineChars="0"/>
              <w:jc w:val="center"/>
              <w:rPr>
                <w:color w:val="auto"/>
                <w:sz w:val="21"/>
                <w:szCs w:val="21"/>
              </w:rPr>
            </w:pPr>
            <w:r>
              <w:rPr>
                <w:rFonts w:hint="eastAsia"/>
                <w:color w:val="auto"/>
                <w:sz w:val="21"/>
                <w:szCs w:val="21"/>
              </w:rPr>
              <w:t>39.58</w:t>
            </w:r>
          </w:p>
        </w:tc>
        <w:tc>
          <w:tcPr>
            <w:tcW w:w="804" w:type="pct"/>
            <w:vAlign w:val="center"/>
          </w:tcPr>
          <w:p>
            <w:pPr>
              <w:widowControl/>
              <w:ind w:firstLine="0" w:firstLineChars="0"/>
              <w:jc w:val="center"/>
              <w:textAlignment w:val="center"/>
              <w:rPr>
                <w:color w:val="auto"/>
                <w:sz w:val="21"/>
                <w:szCs w:val="21"/>
              </w:rPr>
            </w:pPr>
            <w:r>
              <w:rPr>
                <w:color w:val="auto"/>
                <w:kern w:val="0"/>
                <w:sz w:val="21"/>
                <w:szCs w:val="21"/>
                <w:lang w:bidi="ar"/>
              </w:rPr>
              <w:t>0.040</w:t>
            </w:r>
          </w:p>
        </w:tc>
        <w:tc>
          <w:tcPr>
            <w:tcW w:w="800" w:type="pct"/>
            <w:vAlign w:val="center"/>
          </w:tcPr>
          <w:p>
            <w:pPr>
              <w:widowControl/>
              <w:ind w:firstLine="0" w:firstLineChars="0"/>
              <w:jc w:val="center"/>
              <w:textAlignment w:val="center"/>
              <w:rPr>
                <w:color w:val="auto"/>
                <w:sz w:val="21"/>
                <w:szCs w:val="21"/>
              </w:rPr>
            </w:pPr>
            <w:r>
              <w:rPr>
                <w:rFonts w:hint="eastAsia"/>
                <w:color w:val="auto"/>
                <w:sz w:val="21"/>
                <w:szCs w:val="21"/>
              </w:rPr>
              <w:t>0.114</w:t>
            </w:r>
          </w:p>
        </w:tc>
        <w:tc>
          <w:tcPr>
            <w:tcW w:w="813" w:type="pct"/>
            <w:vMerge w:val="continue"/>
            <w:vAlign w:val="center"/>
          </w:tcPr>
          <w:p>
            <w:pPr>
              <w:widowControl/>
              <w:ind w:firstLine="0" w:firstLineChars="0"/>
              <w:jc w:val="center"/>
              <w:textAlignment w:val="center"/>
              <w:rPr>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250" w:type="pct"/>
            <w:vMerge w:val="continue"/>
            <w:vAlign w:val="center"/>
          </w:tcPr>
          <w:p>
            <w:pPr>
              <w:adjustRightInd w:val="0"/>
              <w:snapToGrid w:val="0"/>
              <w:ind w:firstLine="0" w:firstLineChars="0"/>
              <w:jc w:val="center"/>
              <w:rPr>
                <w:color w:val="auto"/>
                <w:sz w:val="21"/>
                <w:szCs w:val="21"/>
              </w:rPr>
            </w:pPr>
          </w:p>
        </w:tc>
        <w:tc>
          <w:tcPr>
            <w:tcW w:w="787" w:type="pct"/>
            <w:vMerge w:val="continue"/>
            <w:vAlign w:val="center"/>
          </w:tcPr>
          <w:p>
            <w:pPr>
              <w:ind w:firstLine="0" w:firstLineChars="0"/>
              <w:jc w:val="center"/>
              <w:rPr>
                <w:color w:val="auto"/>
                <w:sz w:val="21"/>
                <w:szCs w:val="21"/>
              </w:rPr>
            </w:pPr>
          </w:p>
        </w:tc>
        <w:tc>
          <w:tcPr>
            <w:tcW w:w="746" w:type="pct"/>
            <w:vAlign w:val="center"/>
          </w:tcPr>
          <w:p>
            <w:pPr>
              <w:adjustRightInd w:val="0"/>
              <w:snapToGrid w:val="0"/>
              <w:ind w:firstLine="0" w:firstLineChars="0"/>
              <w:jc w:val="center"/>
              <w:rPr>
                <w:color w:val="auto"/>
                <w:sz w:val="21"/>
                <w:szCs w:val="21"/>
              </w:rPr>
            </w:pPr>
            <w:r>
              <w:rPr>
                <w:rFonts w:hint="eastAsia"/>
                <w:color w:val="auto"/>
                <w:sz w:val="21"/>
                <w:szCs w:val="21"/>
              </w:rPr>
              <w:t>NO</w:t>
            </w:r>
            <w:r>
              <w:rPr>
                <w:rFonts w:hint="eastAsia"/>
                <w:color w:val="auto"/>
                <w:sz w:val="21"/>
                <w:szCs w:val="21"/>
                <w:vertAlign w:val="subscript"/>
              </w:rPr>
              <w:t>x</w:t>
            </w:r>
          </w:p>
        </w:tc>
        <w:tc>
          <w:tcPr>
            <w:tcW w:w="797" w:type="pct"/>
            <w:vAlign w:val="center"/>
          </w:tcPr>
          <w:p>
            <w:pPr>
              <w:snapToGrid w:val="0"/>
              <w:ind w:firstLine="0" w:firstLineChars="0"/>
              <w:jc w:val="center"/>
              <w:rPr>
                <w:color w:val="auto"/>
                <w:sz w:val="21"/>
                <w:szCs w:val="21"/>
              </w:rPr>
            </w:pPr>
            <w:r>
              <w:rPr>
                <w:rFonts w:hint="eastAsia"/>
                <w:color w:val="auto"/>
                <w:sz w:val="21"/>
                <w:szCs w:val="21"/>
              </w:rPr>
              <w:t>31.6</w:t>
            </w:r>
          </w:p>
        </w:tc>
        <w:tc>
          <w:tcPr>
            <w:tcW w:w="804" w:type="pct"/>
            <w:vAlign w:val="center"/>
          </w:tcPr>
          <w:p>
            <w:pPr>
              <w:widowControl/>
              <w:ind w:firstLine="0" w:firstLineChars="0"/>
              <w:jc w:val="center"/>
              <w:textAlignment w:val="center"/>
              <w:rPr>
                <w:color w:val="auto"/>
                <w:sz w:val="21"/>
                <w:szCs w:val="21"/>
              </w:rPr>
            </w:pPr>
            <w:r>
              <w:rPr>
                <w:color w:val="auto"/>
                <w:kern w:val="0"/>
                <w:sz w:val="21"/>
                <w:szCs w:val="21"/>
                <w:lang w:bidi="ar"/>
              </w:rPr>
              <w:t>0.032</w:t>
            </w:r>
          </w:p>
        </w:tc>
        <w:tc>
          <w:tcPr>
            <w:tcW w:w="800" w:type="pct"/>
            <w:vAlign w:val="center"/>
          </w:tcPr>
          <w:p>
            <w:pPr>
              <w:widowControl/>
              <w:ind w:firstLine="0" w:firstLineChars="0"/>
              <w:jc w:val="center"/>
              <w:textAlignment w:val="center"/>
              <w:rPr>
                <w:color w:val="auto"/>
                <w:sz w:val="21"/>
                <w:szCs w:val="21"/>
              </w:rPr>
            </w:pPr>
            <w:r>
              <w:rPr>
                <w:rFonts w:hint="eastAsia"/>
                <w:color w:val="auto"/>
                <w:sz w:val="21"/>
                <w:szCs w:val="21"/>
              </w:rPr>
              <w:t>0.091</w:t>
            </w:r>
          </w:p>
        </w:tc>
        <w:tc>
          <w:tcPr>
            <w:tcW w:w="813" w:type="pct"/>
            <w:vMerge w:val="continue"/>
            <w:vAlign w:val="center"/>
          </w:tcPr>
          <w:p>
            <w:pPr>
              <w:widowControl/>
              <w:ind w:firstLine="0" w:firstLineChars="0"/>
              <w:jc w:val="center"/>
              <w:textAlignment w:val="center"/>
              <w:rPr>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0" w:type="pct"/>
            <w:vMerge w:val="restart"/>
            <w:vAlign w:val="center"/>
          </w:tcPr>
          <w:p>
            <w:pPr>
              <w:adjustRightInd w:val="0"/>
              <w:snapToGrid w:val="0"/>
              <w:ind w:firstLine="0" w:firstLineChars="0"/>
              <w:jc w:val="center"/>
              <w:rPr>
                <w:color w:val="auto"/>
                <w:sz w:val="21"/>
                <w:szCs w:val="21"/>
              </w:rPr>
            </w:pPr>
            <w:r>
              <w:rPr>
                <w:rFonts w:hint="eastAsia"/>
                <w:color w:val="auto"/>
                <w:sz w:val="21"/>
                <w:szCs w:val="21"/>
              </w:rPr>
              <w:t>2</w:t>
            </w:r>
          </w:p>
        </w:tc>
        <w:tc>
          <w:tcPr>
            <w:tcW w:w="787" w:type="pct"/>
            <w:vMerge w:val="restart"/>
            <w:vAlign w:val="center"/>
          </w:tcPr>
          <w:p>
            <w:pPr>
              <w:ind w:firstLine="0" w:firstLineChars="0"/>
              <w:jc w:val="center"/>
              <w:rPr>
                <w:color w:val="auto"/>
                <w:sz w:val="21"/>
                <w:szCs w:val="21"/>
              </w:rPr>
            </w:pPr>
            <w:r>
              <w:rPr>
                <w:rFonts w:hint="eastAsia"/>
                <w:color w:val="auto"/>
                <w:sz w:val="21"/>
                <w:szCs w:val="21"/>
              </w:rPr>
              <w:t>DA002（烘干、沥青加热拌合）</w:t>
            </w:r>
          </w:p>
        </w:tc>
        <w:tc>
          <w:tcPr>
            <w:tcW w:w="746" w:type="pct"/>
            <w:vAlign w:val="center"/>
          </w:tcPr>
          <w:p>
            <w:pPr>
              <w:adjustRightInd w:val="0"/>
              <w:snapToGrid w:val="0"/>
              <w:ind w:firstLine="0" w:firstLineChars="0"/>
              <w:jc w:val="center"/>
              <w:rPr>
                <w:color w:val="auto"/>
                <w:sz w:val="21"/>
                <w:szCs w:val="21"/>
              </w:rPr>
            </w:pPr>
            <w:r>
              <w:rPr>
                <w:rFonts w:hint="eastAsia"/>
                <w:color w:val="auto"/>
                <w:sz w:val="21"/>
                <w:szCs w:val="21"/>
              </w:rPr>
              <w:t>颗粒物</w:t>
            </w:r>
          </w:p>
        </w:tc>
        <w:tc>
          <w:tcPr>
            <w:tcW w:w="797" w:type="pct"/>
            <w:vAlign w:val="center"/>
          </w:tcPr>
          <w:p>
            <w:pPr>
              <w:widowControl/>
              <w:ind w:firstLine="0" w:firstLineChars="0"/>
              <w:jc w:val="center"/>
              <w:textAlignment w:val="center"/>
              <w:rPr>
                <w:color w:val="auto"/>
                <w:sz w:val="21"/>
                <w:szCs w:val="21"/>
              </w:rPr>
            </w:pPr>
            <w:r>
              <w:rPr>
                <w:color w:val="auto"/>
                <w:kern w:val="0"/>
                <w:sz w:val="21"/>
                <w:szCs w:val="21"/>
                <w:lang w:bidi="ar"/>
              </w:rPr>
              <w:t>2.75</w:t>
            </w:r>
          </w:p>
        </w:tc>
        <w:tc>
          <w:tcPr>
            <w:tcW w:w="804" w:type="pct"/>
            <w:vAlign w:val="center"/>
          </w:tcPr>
          <w:p>
            <w:pPr>
              <w:widowControl/>
              <w:ind w:firstLine="0" w:firstLineChars="0"/>
              <w:jc w:val="center"/>
              <w:textAlignment w:val="center"/>
              <w:rPr>
                <w:color w:val="auto"/>
                <w:sz w:val="21"/>
                <w:szCs w:val="21"/>
              </w:rPr>
            </w:pPr>
            <w:r>
              <w:rPr>
                <w:color w:val="auto"/>
                <w:kern w:val="0"/>
                <w:sz w:val="21"/>
                <w:szCs w:val="21"/>
                <w:lang w:bidi="ar"/>
              </w:rPr>
              <w:t>0.0</w:t>
            </w:r>
            <w:r>
              <w:rPr>
                <w:rFonts w:hint="eastAsia"/>
                <w:color w:val="auto"/>
                <w:kern w:val="0"/>
                <w:sz w:val="21"/>
                <w:szCs w:val="21"/>
                <w:lang w:bidi="ar"/>
              </w:rPr>
              <w:t>11</w:t>
            </w:r>
          </w:p>
        </w:tc>
        <w:tc>
          <w:tcPr>
            <w:tcW w:w="800" w:type="pct"/>
            <w:vAlign w:val="center"/>
          </w:tcPr>
          <w:p>
            <w:pPr>
              <w:adjustRightInd w:val="0"/>
              <w:snapToGrid w:val="0"/>
              <w:ind w:firstLine="0" w:firstLineChars="0"/>
              <w:jc w:val="center"/>
              <w:rPr>
                <w:color w:val="auto"/>
                <w:sz w:val="21"/>
                <w:szCs w:val="21"/>
              </w:rPr>
            </w:pPr>
            <w:r>
              <w:rPr>
                <w:color w:val="auto"/>
                <w:sz w:val="21"/>
                <w:szCs w:val="21"/>
              </w:rPr>
              <w:t>0.</w:t>
            </w:r>
            <w:r>
              <w:rPr>
                <w:rFonts w:hint="eastAsia"/>
                <w:color w:val="auto"/>
                <w:sz w:val="21"/>
                <w:szCs w:val="21"/>
              </w:rPr>
              <w:t>033</w:t>
            </w:r>
          </w:p>
        </w:tc>
        <w:tc>
          <w:tcPr>
            <w:tcW w:w="813" w:type="pct"/>
            <w:vMerge w:val="restart"/>
            <w:vAlign w:val="center"/>
          </w:tcPr>
          <w:p>
            <w:pPr>
              <w:widowControl/>
              <w:ind w:firstLine="0" w:firstLineChars="0"/>
              <w:jc w:val="center"/>
              <w:textAlignment w:val="center"/>
              <w:rPr>
                <w:color w:val="auto"/>
                <w:sz w:val="21"/>
                <w:szCs w:val="21"/>
              </w:rPr>
            </w:pPr>
            <w:r>
              <w:rPr>
                <w:rFonts w:hint="eastAsia"/>
                <w:color w:val="auto"/>
                <w:sz w:val="21"/>
                <w:szCs w:val="21"/>
              </w:rPr>
              <w:t>2880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0" w:type="pct"/>
            <w:vMerge w:val="continue"/>
            <w:vAlign w:val="center"/>
          </w:tcPr>
          <w:p>
            <w:pPr>
              <w:adjustRightInd w:val="0"/>
              <w:snapToGrid w:val="0"/>
              <w:ind w:firstLine="0" w:firstLineChars="0"/>
              <w:jc w:val="center"/>
              <w:rPr>
                <w:color w:val="auto"/>
                <w:sz w:val="21"/>
                <w:szCs w:val="21"/>
              </w:rPr>
            </w:pPr>
          </w:p>
        </w:tc>
        <w:tc>
          <w:tcPr>
            <w:tcW w:w="787" w:type="pct"/>
            <w:vMerge w:val="continue"/>
            <w:vAlign w:val="center"/>
          </w:tcPr>
          <w:p>
            <w:pPr>
              <w:ind w:firstLine="0" w:firstLineChars="0"/>
              <w:jc w:val="center"/>
              <w:rPr>
                <w:color w:val="auto"/>
                <w:sz w:val="21"/>
                <w:szCs w:val="21"/>
              </w:rPr>
            </w:pPr>
          </w:p>
        </w:tc>
        <w:tc>
          <w:tcPr>
            <w:tcW w:w="746" w:type="pct"/>
            <w:vAlign w:val="center"/>
          </w:tcPr>
          <w:p>
            <w:pPr>
              <w:adjustRightInd w:val="0"/>
              <w:snapToGrid w:val="0"/>
              <w:ind w:firstLine="0" w:firstLineChars="0"/>
              <w:jc w:val="center"/>
              <w:rPr>
                <w:color w:val="auto"/>
                <w:sz w:val="21"/>
                <w:szCs w:val="21"/>
              </w:rPr>
            </w:pPr>
            <w:r>
              <w:rPr>
                <w:rFonts w:hint="eastAsia"/>
                <w:color w:val="auto"/>
                <w:sz w:val="21"/>
                <w:szCs w:val="21"/>
              </w:rPr>
              <w:t>SO</w:t>
            </w:r>
            <w:r>
              <w:rPr>
                <w:rFonts w:hint="eastAsia"/>
                <w:color w:val="auto"/>
                <w:sz w:val="21"/>
                <w:szCs w:val="21"/>
                <w:vertAlign w:val="subscript"/>
              </w:rPr>
              <w:t>2</w:t>
            </w:r>
          </w:p>
        </w:tc>
        <w:tc>
          <w:tcPr>
            <w:tcW w:w="797" w:type="pct"/>
            <w:vAlign w:val="center"/>
          </w:tcPr>
          <w:p>
            <w:pPr>
              <w:widowControl/>
              <w:ind w:firstLine="0" w:firstLineChars="0"/>
              <w:jc w:val="center"/>
              <w:textAlignment w:val="center"/>
              <w:rPr>
                <w:color w:val="auto"/>
                <w:sz w:val="21"/>
                <w:szCs w:val="21"/>
              </w:rPr>
            </w:pPr>
            <w:r>
              <w:rPr>
                <w:color w:val="auto"/>
                <w:kern w:val="0"/>
                <w:sz w:val="21"/>
                <w:szCs w:val="21"/>
                <w:lang w:bidi="ar"/>
              </w:rPr>
              <w:t>39.5</w:t>
            </w:r>
          </w:p>
        </w:tc>
        <w:tc>
          <w:tcPr>
            <w:tcW w:w="804" w:type="pct"/>
            <w:vAlign w:val="center"/>
          </w:tcPr>
          <w:p>
            <w:pPr>
              <w:widowControl/>
              <w:ind w:firstLine="0" w:firstLineChars="0"/>
              <w:jc w:val="center"/>
              <w:textAlignment w:val="center"/>
              <w:rPr>
                <w:color w:val="auto"/>
                <w:sz w:val="21"/>
                <w:szCs w:val="21"/>
              </w:rPr>
            </w:pPr>
            <w:r>
              <w:rPr>
                <w:rFonts w:hint="eastAsia"/>
                <w:color w:val="auto"/>
                <w:kern w:val="0"/>
                <w:sz w:val="21"/>
                <w:szCs w:val="21"/>
                <w:lang w:bidi="ar"/>
              </w:rPr>
              <w:t>0.158</w:t>
            </w:r>
          </w:p>
        </w:tc>
        <w:tc>
          <w:tcPr>
            <w:tcW w:w="800" w:type="pct"/>
            <w:vAlign w:val="center"/>
          </w:tcPr>
          <w:p>
            <w:pPr>
              <w:adjustRightInd w:val="0"/>
              <w:snapToGrid w:val="0"/>
              <w:ind w:firstLine="0" w:firstLineChars="0"/>
              <w:jc w:val="center"/>
              <w:rPr>
                <w:color w:val="auto"/>
                <w:sz w:val="21"/>
                <w:szCs w:val="21"/>
              </w:rPr>
            </w:pPr>
            <w:r>
              <w:rPr>
                <w:color w:val="auto"/>
                <w:sz w:val="21"/>
                <w:szCs w:val="21"/>
              </w:rPr>
              <w:t>0</w:t>
            </w:r>
            <w:r>
              <w:rPr>
                <w:rFonts w:hint="eastAsia"/>
                <w:color w:val="auto"/>
                <w:sz w:val="21"/>
                <w:szCs w:val="21"/>
              </w:rPr>
              <w:t>.456</w:t>
            </w:r>
          </w:p>
        </w:tc>
        <w:tc>
          <w:tcPr>
            <w:tcW w:w="813" w:type="pct"/>
            <w:vMerge w:val="continue"/>
            <w:vAlign w:val="center"/>
          </w:tcPr>
          <w:p>
            <w:pPr>
              <w:widowControl/>
              <w:ind w:firstLine="0" w:firstLineChars="0"/>
              <w:jc w:val="center"/>
              <w:textAlignment w:val="center"/>
              <w:rPr>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0" w:type="pct"/>
            <w:vMerge w:val="continue"/>
            <w:vAlign w:val="center"/>
          </w:tcPr>
          <w:p>
            <w:pPr>
              <w:adjustRightInd w:val="0"/>
              <w:snapToGrid w:val="0"/>
              <w:ind w:firstLine="0" w:firstLineChars="0"/>
              <w:jc w:val="center"/>
              <w:rPr>
                <w:color w:val="auto"/>
                <w:sz w:val="21"/>
                <w:szCs w:val="21"/>
              </w:rPr>
            </w:pPr>
          </w:p>
        </w:tc>
        <w:tc>
          <w:tcPr>
            <w:tcW w:w="787" w:type="pct"/>
            <w:vMerge w:val="continue"/>
            <w:vAlign w:val="center"/>
          </w:tcPr>
          <w:p>
            <w:pPr>
              <w:ind w:firstLine="0" w:firstLineChars="0"/>
              <w:jc w:val="center"/>
              <w:rPr>
                <w:color w:val="auto"/>
                <w:sz w:val="21"/>
                <w:szCs w:val="21"/>
              </w:rPr>
            </w:pPr>
          </w:p>
        </w:tc>
        <w:tc>
          <w:tcPr>
            <w:tcW w:w="746" w:type="pct"/>
            <w:vAlign w:val="center"/>
          </w:tcPr>
          <w:p>
            <w:pPr>
              <w:adjustRightInd w:val="0"/>
              <w:snapToGrid w:val="0"/>
              <w:ind w:firstLine="0" w:firstLineChars="0"/>
              <w:jc w:val="center"/>
              <w:rPr>
                <w:color w:val="auto"/>
                <w:sz w:val="21"/>
                <w:szCs w:val="21"/>
              </w:rPr>
            </w:pPr>
            <w:r>
              <w:rPr>
                <w:rFonts w:hint="eastAsia"/>
                <w:color w:val="auto"/>
                <w:sz w:val="21"/>
                <w:szCs w:val="21"/>
              </w:rPr>
              <w:t>NO</w:t>
            </w:r>
            <w:r>
              <w:rPr>
                <w:rFonts w:hint="eastAsia"/>
                <w:color w:val="auto"/>
                <w:sz w:val="21"/>
                <w:szCs w:val="21"/>
                <w:vertAlign w:val="subscript"/>
              </w:rPr>
              <w:t>x</w:t>
            </w:r>
          </w:p>
        </w:tc>
        <w:tc>
          <w:tcPr>
            <w:tcW w:w="797" w:type="pct"/>
            <w:vAlign w:val="center"/>
          </w:tcPr>
          <w:p>
            <w:pPr>
              <w:widowControl/>
              <w:ind w:firstLine="0" w:firstLineChars="0"/>
              <w:jc w:val="center"/>
              <w:textAlignment w:val="center"/>
              <w:rPr>
                <w:color w:val="auto"/>
                <w:sz w:val="21"/>
                <w:szCs w:val="21"/>
              </w:rPr>
            </w:pPr>
            <w:r>
              <w:rPr>
                <w:color w:val="auto"/>
                <w:kern w:val="0"/>
                <w:sz w:val="21"/>
                <w:szCs w:val="21"/>
                <w:lang w:bidi="ar"/>
              </w:rPr>
              <w:t>37.5</w:t>
            </w:r>
          </w:p>
        </w:tc>
        <w:tc>
          <w:tcPr>
            <w:tcW w:w="804" w:type="pct"/>
            <w:vAlign w:val="center"/>
          </w:tcPr>
          <w:p>
            <w:pPr>
              <w:widowControl/>
              <w:ind w:firstLine="0" w:firstLineChars="0"/>
              <w:jc w:val="center"/>
              <w:textAlignment w:val="center"/>
              <w:rPr>
                <w:color w:val="auto"/>
                <w:sz w:val="21"/>
                <w:szCs w:val="21"/>
              </w:rPr>
            </w:pPr>
            <w:r>
              <w:rPr>
                <w:rFonts w:hint="eastAsia"/>
                <w:color w:val="auto"/>
                <w:kern w:val="0"/>
                <w:sz w:val="21"/>
                <w:szCs w:val="21"/>
                <w:lang w:bidi="ar"/>
              </w:rPr>
              <w:t>0.15</w:t>
            </w:r>
          </w:p>
        </w:tc>
        <w:tc>
          <w:tcPr>
            <w:tcW w:w="800" w:type="pct"/>
            <w:vAlign w:val="center"/>
          </w:tcPr>
          <w:p>
            <w:pPr>
              <w:adjustRightInd w:val="0"/>
              <w:snapToGrid w:val="0"/>
              <w:ind w:firstLine="0" w:firstLineChars="0"/>
              <w:jc w:val="center"/>
              <w:rPr>
                <w:color w:val="auto"/>
                <w:sz w:val="21"/>
                <w:szCs w:val="21"/>
              </w:rPr>
            </w:pPr>
            <w:r>
              <w:rPr>
                <w:color w:val="auto"/>
                <w:sz w:val="21"/>
                <w:szCs w:val="21"/>
              </w:rPr>
              <w:t>0.</w:t>
            </w:r>
            <w:r>
              <w:rPr>
                <w:rFonts w:hint="eastAsia"/>
                <w:color w:val="auto"/>
                <w:sz w:val="21"/>
                <w:szCs w:val="21"/>
              </w:rPr>
              <w:t>432</w:t>
            </w:r>
          </w:p>
        </w:tc>
        <w:tc>
          <w:tcPr>
            <w:tcW w:w="813" w:type="pct"/>
            <w:vMerge w:val="continue"/>
            <w:vAlign w:val="center"/>
          </w:tcPr>
          <w:p>
            <w:pPr>
              <w:widowControl/>
              <w:ind w:firstLine="0" w:firstLineChars="0"/>
              <w:jc w:val="center"/>
              <w:textAlignment w:val="center"/>
              <w:rPr>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0" w:type="pct"/>
            <w:vMerge w:val="continue"/>
            <w:vAlign w:val="center"/>
          </w:tcPr>
          <w:p>
            <w:pPr>
              <w:adjustRightInd w:val="0"/>
              <w:snapToGrid w:val="0"/>
              <w:ind w:firstLine="0" w:firstLineChars="0"/>
              <w:jc w:val="center"/>
              <w:rPr>
                <w:color w:val="auto"/>
                <w:sz w:val="21"/>
                <w:szCs w:val="21"/>
              </w:rPr>
            </w:pPr>
          </w:p>
        </w:tc>
        <w:tc>
          <w:tcPr>
            <w:tcW w:w="787" w:type="pct"/>
            <w:vMerge w:val="continue"/>
            <w:vAlign w:val="center"/>
          </w:tcPr>
          <w:p>
            <w:pPr>
              <w:ind w:firstLine="0" w:firstLineChars="0"/>
              <w:jc w:val="center"/>
              <w:rPr>
                <w:color w:val="auto"/>
                <w:sz w:val="21"/>
                <w:szCs w:val="21"/>
              </w:rPr>
            </w:pPr>
          </w:p>
        </w:tc>
        <w:tc>
          <w:tcPr>
            <w:tcW w:w="746" w:type="pct"/>
            <w:vAlign w:val="center"/>
          </w:tcPr>
          <w:p>
            <w:pPr>
              <w:adjustRightInd w:val="0"/>
              <w:snapToGrid w:val="0"/>
              <w:ind w:firstLine="0" w:firstLineChars="0"/>
              <w:jc w:val="center"/>
              <w:rPr>
                <w:color w:val="auto"/>
                <w:sz w:val="21"/>
                <w:szCs w:val="21"/>
              </w:rPr>
            </w:pPr>
            <w:r>
              <w:rPr>
                <w:rFonts w:hint="eastAsia"/>
                <w:color w:val="auto"/>
                <w:sz w:val="21"/>
                <w:szCs w:val="21"/>
              </w:rPr>
              <w:t>苯并[a]芘</w:t>
            </w:r>
          </w:p>
        </w:tc>
        <w:tc>
          <w:tcPr>
            <w:tcW w:w="797" w:type="pct"/>
            <w:vAlign w:val="center"/>
          </w:tcPr>
          <w:p>
            <w:pPr>
              <w:widowControl/>
              <w:ind w:firstLine="0" w:firstLineChars="0"/>
              <w:jc w:val="center"/>
              <w:textAlignment w:val="center"/>
              <w:rPr>
                <w:color w:val="auto"/>
                <w:sz w:val="21"/>
                <w:szCs w:val="21"/>
              </w:rPr>
            </w:pPr>
            <w:r>
              <w:rPr>
                <w:color w:val="auto"/>
                <w:kern w:val="0"/>
                <w:sz w:val="21"/>
                <w:szCs w:val="21"/>
                <w:lang w:bidi="ar"/>
              </w:rPr>
              <w:t>0.000175</w:t>
            </w:r>
          </w:p>
        </w:tc>
        <w:tc>
          <w:tcPr>
            <w:tcW w:w="804" w:type="pct"/>
            <w:vAlign w:val="center"/>
          </w:tcPr>
          <w:p>
            <w:pPr>
              <w:widowControl/>
              <w:ind w:firstLine="0" w:firstLineChars="0"/>
              <w:jc w:val="center"/>
              <w:textAlignment w:val="center"/>
              <w:rPr>
                <w:color w:val="auto"/>
                <w:sz w:val="21"/>
                <w:szCs w:val="21"/>
              </w:rPr>
            </w:pPr>
            <w:r>
              <w:rPr>
                <w:color w:val="auto"/>
                <w:kern w:val="0"/>
                <w:sz w:val="21"/>
                <w:szCs w:val="21"/>
                <w:lang w:bidi="ar"/>
              </w:rPr>
              <w:t>0.00000</w:t>
            </w:r>
            <w:r>
              <w:rPr>
                <w:rFonts w:hint="eastAsia"/>
                <w:color w:val="auto"/>
                <w:kern w:val="0"/>
                <w:sz w:val="21"/>
                <w:szCs w:val="21"/>
                <w:lang w:bidi="ar"/>
              </w:rPr>
              <w:t>7</w:t>
            </w:r>
          </w:p>
        </w:tc>
        <w:tc>
          <w:tcPr>
            <w:tcW w:w="800" w:type="pct"/>
            <w:vAlign w:val="center"/>
          </w:tcPr>
          <w:p>
            <w:pPr>
              <w:adjustRightInd w:val="0"/>
              <w:snapToGrid w:val="0"/>
              <w:ind w:firstLine="0" w:firstLineChars="0"/>
              <w:jc w:val="center"/>
              <w:rPr>
                <w:color w:val="auto"/>
                <w:sz w:val="21"/>
                <w:szCs w:val="21"/>
              </w:rPr>
            </w:pPr>
            <w:r>
              <w:rPr>
                <w:rFonts w:hint="eastAsia"/>
                <w:color w:val="auto"/>
                <w:sz w:val="21"/>
                <w:szCs w:val="21"/>
              </w:rPr>
              <w:t>0.00002</w:t>
            </w:r>
          </w:p>
        </w:tc>
        <w:tc>
          <w:tcPr>
            <w:tcW w:w="813" w:type="pct"/>
            <w:vMerge w:val="continue"/>
            <w:vAlign w:val="center"/>
          </w:tcPr>
          <w:p>
            <w:pPr>
              <w:widowControl/>
              <w:ind w:firstLine="0" w:firstLineChars="0"/>
              <w:jc w:val="center"/>
              <w:textAlignment w:val="center"/>
              <w:rPr>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0" w:type="pct"/>
            <w:vMerge w:val="continue"/>
            <w:vAlign w:val="center"/>
          </w:tcPr>
          <w:p>
            <w:pPr>
              <w:adjustRightInd w:val="0"/>
              <w:snapToGrid w:val="0"/>
              <w:ind w:firstLine="0" w:firstLineChars="0"/>
              <w:jc w:val="center"/>
              <w:rPr>
                <w:color w:val="auto"/>
                <w:sz w:val="21"/>
                <w:szCs w:val="21"/>
              </w:rPr>
            </w:pPr>
          </w:p>
        </w:tc>
        <w:tc>
          <w:tcPr>
            <w:tcW w:w="787" w:type="pct"/>
            <w:vMerge w:val="continue"/>
            <w:vAlign w:val="center"/>
          </w:tcPr>
          <w:p>
            <w:pPr>
              <w:ind w:firstLine="0" w:firstLineChars="0"/>
              <w:jc w:val="center"/>
              <w:rPr>
                <w:color w:val="auto"/>
                <w:sz w:val="21"/>
                <w:szCs w:val="21"/>
              </w:rPr>
            </w:pPr>
          </w:p>
        </w:tc>
        <w:tc>
          <w:tcPr>
            <w:tcW w:w="746" w:type="pct"/>
            <w:vAlign w:val="center"/>
          </w:tcPr>
          <w:p>
            <w:pPr>
              <w:adjustRightInd w:val="0"/>
              <w:snapToGrid w:val="0"/>
              <w:ind w:firstLine="0" w:firstLineChars="0"/>
              <w:jc w:val="center"/>
              <w:rPr>
                <w:color w:val="auto"/>
                <w:sz w:val="21"/>
                <w:szCs w:val="21"/>
              </w:rPr>
            </w:pPr>
            <w:r>
              <w:rPr>
                <w:rFonts w:hint="eastAsia"/>
                <w:color w:val="auto"/>
                <w:sz w:val="21"/>
                <w:szCs w:val="21"/>
              </w:rPr>
              <w:t>沥青烟</w:t>
            </w:r>
          </w:p>
        </w:tc>
        <w:tc>
          <w:tcPr>
            <w:tcW w:w="797" w:type="pct"/>
            <w:vAlign w:val="center"/>
          </w:tcPr>
          <w:p>
            <w:pPr>
              <w:widowControl/>
              <w:ind w:firstLine="0" w:firstLineChars="0"/>
              <w:jc w:val="center"/>
              <w:textAlignment w:val="center"/>
              <w:rPr>
                <w:color w:val="auto"/>
                <w:sz w:val="21"/>
                <w:szCs w:val="21"/>
              </w:rPr>
            </w:pPr>
            <w:r>
              <w:rPr>
                <w:color w:val="auto"/>
                <w:kern w:val="0"/>
                <w:sz w:val="21"/>
                <w:szCs w:val="21"/>
                <w:lang w:bidi="ar"/>
              </w:rPr>
              <w:t>0.7</w:t>
            </w:r>
          </w:p>
        </w:tc>
        <w:tc>
          <w:tcPr>
            <w:tcW w:w="804" w:type="pct"/>
            <w:vAlign w:val="center"/>
          </w:tcPr>
          <w:p>
            <w:pPr>
              <w:widowControl/>
              <w:ind w:firstLine="0" w:firstLineChars="0"/>
              <w:jc w:val="center"/>
              <w:textAlignment w:val="center"/>
              <w:rPr>
                <w:color w:val="auto"/>
                <w:sz w:val="21"/>
                <w:szCs w:val="21"/>
              </w:rPr>
            </w:pPr>
            <w:r>
              <w:rPr>
                <w:color w:val="auto"/>
                <w:kern w:val="0"/>
                <w:sz w:val="21"/>
                <w:szCs w:val="21"/>
                <w:lang w:bidi="ar"/>
              </w:rPr>
              <w:t>0.0</w:t>
            </w:r>
            <w:r>
              <w:rPr>
                <w:rFonts w:hint="eastAsia"/>
                <w:color w:val="auto"/>
                <w:kern w:val="0"/>
                <w:sz w:val="21"/>
                <w:szCs w:val="21"/>
                <w:lang w:bidi="ar"/>
              </w:rPr>
              <w:t>028</w:t>
            </w:r>
          </w:p>
        </w:tc>
        <w:tc>
          <w:tcPr>
            <w:tcW w:w="800" w:type="pct"/>
            <w:vAlign w:val="center"/>
          </w:tcPr>
          <w:p>
            <w:pPr>
              <w:adjustRightInd w:val="0"/>
              <w:snapToGrid w:val="0"/>
              <w:ind w:firstLine="0" w:firstLineChars="0"/>
              <w:jc w:val="center"/>
              <w:rPr>
                <w:color w:val="auto"/>
                <w:sz w:val="21"/>
                <w:szCs w:val="21"/>
              </w:rPr>
            </w:pPr>
            <w:r>
              <w:rPr>
                <w:rFonts w:hint="eastAsia"/>
                <w:color w:val="auto"/>
                <w:sz w:val="21"/>
                <w:szCs w:val="21"/>
              </w:rPr>
              <w:t>0.008</w:t>
            </w:r>
          </w:p>
        </w:tc>
        <w:tc>
          <w:tcPr>
            <w:tcW w:w="813" w:type="pct"/>
            <w:vMerge w:val="continue"/>
            <w:vAlign w:val="center"/>
          </w:tcPr>
          <w:p>
            <w:pPr>
              <w:widowControl/>
              <w:ind w:firstLine="0" w:firstLineChars="0"/>
              <w:jc w:val="center"/>
              <w:textAlignment w:val="center"/>
              <w:rPr>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38" w:type="pct"/>
            <w:gridSpan w:val="2"/>
            <w:vMerge w:val="restart"/>
            <w:vAlign w:val="center"/>
          </w:tcPr>
          <w:p>
            <w:pPr>
              <w:adjustRightInd w:val="0"/>
              <w:snapToGrid w:val="0"/>
              <w:ind w:firstLine="0" w:firstLineChars="0"/>
              <w:jc w:val="center"/>
              <w:rPr>
                <w:color w:val="auto"/>
                <w:sz w:val="21"/>
                <w:szCs w:val="21"/>
              </w:rPr>
            </w:pPr>
            <w:r>
              <w:rPr>
                <w:color w:val="auto"/>
                <w:sz w:val="21"/>
                <w:szCs w:val="21"/>
              </w:rPr>
              <w:t>有组织排放总计</w:t>
            </w:r>
          </w:p>
        </w:tc>
        <w:tc>
          <w:tcPr>
            <w:tcW w:w="2348" w:type="pct"/>
            <w:gridSpan w:val="3"/>
            <w:vAlign w:val="center"/>
          </w:tcPr>
          <w:p>
            <w:pPr>
              <w:adjustRightInd w:val="0"/>
              <w:snapToGrid w:val="0"/>
              <w:ind w:firstLine="0" w:firstLineChars="0"/>
              <w:jc w:val="center"/>
              <w:rPr>
                <w:color w:val="auto"/>
                <w:sz w:val="21"/>
                <w:szCs w:val="21"/>
              </w:rPr>
            </w:pPr>
            <w:r>
              <w:rPr>
                <w:rFonts w:hint="eastAsia"/>
                <w:color w:val="auto"/>
                <w:sz w:val="21"/>
                <w:szCs w:val="21"/>
              </w:rPr>
              <w:t>颗粒物</w:t>
            </w:r>
          </w:p>
        </w:tc>
        <w:tc>
          <w:tcPr>
            <w:tcW w:w="800" w:type="pct"/>
            <w:vAlign w:val="center"/>
          </w:tcPr>
          <w:p>
            <w:pPr>
              <w:adjustRightInd w:val="0"/>
              <w:snapToGrid w:val="0"/>
              <w:ind w:firstLine="0" w:firstLineChars="0"/>
              <w:jc w:val="center"/>
              <w:rPr>
                <w:color w:val="auto"/>
                <w:sz w:val="21"/>
                <w:szCs w:val="21"/>
              </w:rPr>
            </w:pPr>
            <w:r>
              <w:rPr>
                <w:rFonts w:hint="eastAsia"/>
                <w:color w:val="auto"/>
                <w:sz w:val="21"/>
                <w:szCs w:val="21"/>
              </w:rPr>
              <w:t>0.041</w:t>
            </w:r>
          </w:p>
        </w:tc>
        <w:tc>
          <w:tcPr>
            <w:tcW w:w="813" w:type="pct"/>
            <w:vMerge w:val="restart"/>
            <w:vAlign w:val="center"/>
          </w:tcPr>
          <w:p>
            <w:pPr>
              <w:pStyle w:val="2"/>
              <w:ind w:firstLine="0" w:firstLineChars="0"/>
              <w:jc w:val="center"/>
              <w:rPr>
                <w:color w:val="auto"/>
                <w:szCs w:val="21"/>
              </w:rPr>
            </w:pPr>
            <w:r>
              <w:rPr>
                <w:rFonts w:hint="eastAsia"/>
                <w:color w:val="auto"/>
                <w:szCs w:val="21"/>
              </w:rPr>
              <w:t>2880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38" w:type="pct"/>
            <w:gridSpan w:val="2"/>
            <w:vMerge w:val="continue"/>
            <w:vAlign w:val="center"/>
          </w:tcPr>
          <w:p>
            <w:pPr>
              <w:adjustRightInd w:val="0"/>
              <w:snapToGrid w:val="0"/>
              <w:ind w:firstLine="0" w:firstLineChars="0"/>
              <w:jc w:val="center"/>
              <w:rPr>
                <w:color w:val="auto"/>
                <w:sz w:val="21"/>
                <w:szCs w:val="21"/>
              </w:rPr>
            </w:pPr>
          </w:p>
        </w:tc>
        <w:tc>
          <w:tcPr>
            <w:tcW w:w="2348" w:type="pct"/>
            <w:gridSpan w:val="3"/>
            <w:vAlign w:val="center"/>
          </w:tcPr>
          <w:p>
            <w:pPr>
              <w:adjustRightInd w:val="0"/>
              <w:snapToGrid w:val="0"/>
              <w:ind w:firstLine="0" w:firstLineChars="0"/>
              <w:jc w:val="center"/>
              <w:rPr>
                <w:color w:val="auto"/>
                <w:sz w:val="21"/>
                <w:szCs w:val="21"/>
              </w:rPr>
            </w:pPr>
            <w:r>
              <w:rPr>
                <w:rFonts w:hint="eastAsia"/>
                <w:color w:val="auto"/>
                <w:sz w:val="21"/>
                <w:szCs w:val="21"/>
              </w:rPr>
              <w:t>SO</w:t>
            </w:r>
            <w:r>
              <w:rPr>
                <w:rFonts w:hint="eastAsia"/>
                <w:color w:val="auto"/>
                <w:sz w:val="21"/>
                <w:szCs w:val="21"/>
                <w:vertAlign w:val="subscript"/>
              </w:rPr>
              <w:t>2</w:t>
            </w:r>
          </w:p>
        </w:tc>
        <w:tc>
          <w:tcPr>
            <w:tcW w:w="800" w:type="pct"/>
            <w:vAlign w:val="center"/>
          </w:tcPr>
          <w:p>
            <w:pPr>
              <w:adjustRightInd w:val="0"/>
              <w:snapToGrid w:val="0"/>
              <w:ind w:firstLine="0" w:firstLineChars="0"/>
              <w:jc w:val="center"/>
              <w:rPr>
                <w:color w:val="auto"/>
                <w:sz w:val="21"/>
                <w:szCs w:val="21"/>
              </w:rPr>
            </w:pPr>
            <w:r>
              <w:rPr>
                <w:rFonts w:hint="eastAsia"/>
                <w:color w:val="auto"/>
                <w:sz w:val="21"/>
                <w:szCs w:val="21"/>
              </w:rPr>
              <w:t>0.57</w:t>
            </w:r>
          </w:p>
        </w:tc>
        <w:tc>
          <w:tcPr>
            <w:tcW w:w="813" w:type="pct"/>
            <w:vMerge w:val="continue"/>
            <w:vAlign w:val="center"/>
          </w:tcPr>
          <w:p>
            <w:pPr>
              <w:pStyle w:val="2"/>
              <w:ind w:firstLine="0" w:firstLineChars="0"/>
              <w:jc w:val="center"/>
              <w:rPr>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38" w:type="pct"/>
            <w:gridSpan w:val="2"/>
            <w:vMerge w:val="continue"/>
            <w:vAlign w:val="center"/>
          </w:tcPr>
          <w:p>
            <w:pPr>
              <w:adjustRightInd w:val="0"/>
              <w:snapToGrid w:val="0"/>
              <w:ind w:firstLine="0" w:firstLineChars="0"/>
              <w:jc w:val="center"/>
              <w:rPr>
                <w:color w:val="auto"/>
                <w:sz w:val="21"/>
                <w:szCs w:val="21"/>
              </w:rPr>
            </w:pPr>
          </w:p>
        </w:tc>
        <w:tc>
          <w:tcPr>
            <w:tcW w:w="2348" w:type="pct"/>
            <w:gridSpan w:val="3"/>
            <w:vAlign w:val="center"/>
          </w:tcPr>
          <w:p>
            <w:pPr>
              <w:adjustRightInd w:val="0"/>
              <w:snapToGrid w:val="0"/>
              <w:ind w:firstLine="0" w:firstLineChars="0"/>
              <w:jc w:val="center"/>
              <w:rPr>
                <w:color w:val="auto"/>
                <w:sz w:val="21"/>
                <w:szCs w:val="21"/>
              </w:rPr>
            </w:pPr>
            <w:r>
              <w:rPr>
                <w:rFonts w:hint="eastAsia"/>
                <w:color w:val="auto"/>
                <w:sz w:val="21"/>
                <w:szCs w:val="21"/>
              </w:rPr>
              <w:t>NO</w:t>
            </w:r>
            <w:r>
              <w:rPr>
                <w:rFonts w:hint="eastAsia"/>
                <w:color w:val="auto"/>
                <w:sz w:val="21"/>
                <w:szCs w:val="21"/>
                <w:vertAlign w:val="subscript"/>
              </w:rPr>
              <w:t>x</w:t>
            </w:r>
          </w:p>
        </w:tc>
        <w:tc>
          <w:tcPr>
            <w:tcW w:w="800" w:type="pct"/>
            <w:vAlign w:val="center"/>
          </w:tcPr>
          <w:p>
            <w:pPr>
              <w:adjustRightInd w:val="0"/>
              <w:snapToGrid w:val="0"/>
              <w:ind w:firstLine="0" w:firstLineChars="0"/>
              <w:jc w:val="center"/>
              <w:rPr>
                <w:color w:val="auto"/>
                <w:sz w:val="21"/>
                <w:szCs w:val="21"/>
              </w:rPr>
            </w:pPr>
            <w:r>
              <w:rPr>
                <w:rFonts w:hint="eastAsia"/>
                <w:color w:val="auto"/>
                <w:sz w:val="21"/>
                <w:szCs w:val="21"/>
              </w:rPr>
              <w:t>0.523</w:t>
            </w:r>
          </w:p>
        </w:tc>
        <w:tc>
          <w:tcPr>
            <w:tcW w:w="813" w:type="pct"/>
            <w:vMerge w:val="continue"/>
            <w:vAlign w:val="center"/>
          </w:tcPr>
          <w:p>
            <w:pPr>
              <w:pStyle w:val="2"/>
              <w:ind w:firstLine="0" w:firstLineChars="0"/>
              <w:jc w:val="center"/>
              <w:rPr>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38" w:type="pct"/>
            <w:gridSpan w:val="2"/>
            <w:vMerge w:val="continue"/>
            <w:vAlign w:val="center"/>
          </w:tcPr>
          <w:p>
            <w:pPr>
              <w:adjustRightInd w:val="0"/>
              <w:snapToGrid w:val="0"/>
              <w:ind w:firstLine="0" w:firstLineChars="0"/>
              <w:jc w:val="center"/>
              <w:rPr>
                <w:color w:val="auto"/>
                <w:sz w:val="21"/>
                <w:szCs w:val="21"/>
              </w:rPr>
            </w:pPr>
          </w:p>
        </w:tc>
        <w:tc>
          <w:tcPr>
            <w:tcW w:w="2348" w:type="pct"/>
            <w:gridSpan w:val="3"/>
            <w:vAlign w:val="center"/>
          </w:tcPr>
          <w:p>
            <w:pPr>
              <w:adjustRightInd w:val="0"/>
              <w:snapToGrid w:val="0"/>
              <w:ind w:firstLine="0" w:firstLineChars="0"/>
              <w:jc w:val="center"/>
              <w:rPr>
                <w:color w:val="auto"/>
                <w:sz w:val="21"/>
                <w:szCs w:val="21"/>
              </w:rPr>
            </w:pPr>
            <w:r>
              <w:rPr>
                <w:rFonts w:hint="eastAsia"/>
                <w:color w:val="auto"/>
                <w:sz w:val="21"/>
                <w:szCs w:val="21"/>
              </w:rPr>
              <w:t>苯并[a]芘</w:t>
            </w:r>
          </w:p>
        </w:tc>
        <w:tc>
          <w:tcPr>
            <w:tcW w:w="800" w:type="pct"/>
            <w:vAlign w:val="center"/>
          </w:tcPr>
          <w:p>
            <w:pPr>
              <w:adjustRightInd w:val="0"/>
              <w:snapToGrid w:val="0"/>
              <w:ind w:firstLine="0" w:firstLineChars="0"/>
              <w:jc w:val="center"/>
              <w:rPr>
                <w:color w:val="auto"/>
                <w:sz w:val="21"/>
                <w:szCs w:val="21"/>
              </w:rPr>
            </w:pPr>
            <w:r>
              <w:rPr>
                <w:rFonts w:hint="eastAsia"/>
                <w:color w:val="auto"/>
                <w:sz w:val="21"/>
                <w:szCs w:val="21"/>
              </w:rPr>
              <w:t>0.00002</w:t>
            </w:r>
          </w:p>
        </w:tc>
        <w:tc>
          <w:tcPr>
            <w:tcW w:w="813" w:type="pct"/>
            <w:vMerge w:val="continue"/>
            <w:vAlign w:val="center"/>
          </w:tcPr>
          <w:p>
            <w:pPr>
              <w:pStyle w:val="2"/>
              <w:ind w:firstLine="0" w:firstLineChars="0"/>
              <w:jc w:val="center"/>
              <w:rPr>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38" w:type="pct"/>
            <w:gridSpan w:val="2"/>
            <w:vMerge w:val="continue"/>
            <w:vAlign w:val="center"/>
          </w:tcPr>
          <w:p>
            <w:pPr>
              <w:adjustRightInd w:val="0"/>
              <w:snapToGrid w:val="0"/>
              <w:ind w:firstLine="0" w:firstLineChars="0"/>
              <w:jc w:val="center"/>
              <w:rPr>
                <w:color w:val="auto"/>
                <w:sz w:val="21"/>
                <w:szCs w:val="21"/>
              </w:rPr>
            </w:pPr>
          </w:p>
        </w:tc>
        <w:tc>
          <w:tcPr>
            <w:tcW w:w="2348" w:type="pct"/>
            <w:gridSpan w:val="3"/>
            <w:vAlign w:val="center"/>
          </w:tcPr>
          <w:p>
            <w:pPr>
              <w:adjustRightInd w:val="0"/>
              <w:snapToGrid w:val="0"/>
              <w:ind w:firstLine="0" w:firstLineChars="0"/>
              <w:jc w:val="center"/>
              <w:rPr>
                <w:color w:val="auto"/>
                <w:sz w:val="21"/>
                <w:szCs w:val="21"/>
              </w:rPr>
            </w:pPr>
            <w:r>
              <w:rPr>
                <w:rFonts w:hint="eastAsia"/>
                <w:color w:val="auto"/>
                <w:sz w:val="21"/>
                <w:szCs w:val="21"/>
              </w:rPr>
              <w:t>沥青烟</w:t>
            </w:r>
          </w:p>
        </w:tc>
        <w:tc>
          <w:tcPr>
            <w:tcW w:w="800" w:type="pct"/>
            <w:vAlign w:val="center"/>
          </w:tcPr>
          <w:p>
            <w:pPr>
              <w:adjustRightInd w:val="0"/>
              <w:snapToGrid w:val="0"/>
              <w:ind w:firstLine="0" w:firstLineChars="0"/>
              <w:jc w:val="center"/>
              <w:rPr>
                <w:color w:val="auto"/>
                <w:sz w:val="21"/>
                <w:szCs w:val="21"/>
              </w:rPr>
            </w:pPr>
            <w:r>
              <w:rPr>
                <w:rFonts w:hint="eastAsia"/>
                <w:color w:val="auto"/>
                <w:sz w:val="21"/>
                <w:szCs w:val="21"/>
              </w:rPr>
              <w:t>0.008</w:t>
            </w:r>
          </w:p>
        </w:tc>
        <w:tc>
          <w:tcPr>
            <w:tcW w:w="813" w:type="pct"/>
            <w:vMerge w:val="continue"/>
            <w:vAlign w:val="center"/>
          </w:tcPr>
          <w:p>
            <w:pPr>
              <w:pStyle w:val="2"/>
              <w:ind w:firstLine="0" w:firstLineChars="0"/>
              <w:jc w:val="center"/>
              <w:rPr>
                <w:color w:val="auto"/>
                <w:szCs w:val="21"/>
              </w:rPr>
            </w:pPr>
          </w:p>
        </w:tc>
      </w:tr>
    </w:tbl>
    <w:p>
      <w:pPr>
        <w:spacing w:before="36" w:line="220" w:lineRule="auto"/>
        <w:ind w:left="557" w:firstLine="412"/>
        <w:rPr>
          <w:rFonts w:eastAsia="Times New Roman"/>
          <w:color w:val="auto"/>
          <w:spacing w:val="-17"/>
        </w:rPr>
      </w:pPr>
    </w:p>
    <w:p>
      <w:pPr>
        <w:spacing w:before="36" w:line="220" w:lineRule="auto"/>
        <w:ind w:firstLine="412"/>
        <w:rPr>
          <w:rFonts w:hint="eastAsia" w:ascii="宋体" w:hAnsi="宋体" w:cs="宋体"/>
          <w:color w:val="auto"/>
        </w:rPr>
      </w:pPr>
      <w:r>
        <w:rPr>
          <w:rFonts w:ascii="宋体" w:hAnsi="宋体" w:cs="宋体"/>
          <w:color w:val="auto"/>
          <w:spacing w:val="-17"/>
        </w:rPr>
        <w:t>无组织污染物排放量核算：</w:t>
      </w:r>
    </w:p>
    <w:p>
      <w:pPr>
        <w:spacing w:before="179" w:line="212" w:lineRule="auto"/>
        <w:ind w:left="2425" w:firstLine="474"/>
        <w:rPr>
          <w:rFonts w:hint="eastAsia" w:ascii="宋体" w:hAnsi="宋体" w:cs="宋体"/>
          <w:b/>
          <w:bCs/>
          <w:color w:val="auto"/>
          <w:spacing w:val="-2"/>
        </w:rPr>
      </w:pPr>
    </w:p>
    <w:p>
      <w:pPr>
        <w:spacing w:before="179" w:line="212" w:lineRule="auto"/>
        <w:ind w:firstLine="0" w:firstLineChars="0"/>
        <w:jc w:val="center"/>
        <w:rPr>
          <w:rFonts w:hint="eastAsia" w:ascii="宋体" w:hAnsi="宋体" w:cs="宋体"/>
          <w:color w:val="auto"/>
        </w:rPr>
      </w:pPr>
      <w:r>
        <w:rPr>
          <w:rFonts w:ascii="宋体" w:hAnsi="宋体" w:cs="宋体"/>
          <w:b/>
          <w:bCs/>
          <w:color w:val="auto"/>
          <w:spacing w:val="-2"/>
        </w:rPr>
        <w:t>表</w:t>
      </w:r>
      <w:r>
        <w:rPr>
          <w:rFonts w:ascii="宋体" w:hAnsi="宋体" w:cs="宋体"/>
          <w:color w:val="auto"/>
          <w:spacing w:val="-50"/>
        </w:rPr>
        <w:t xml:space="preserve"> </w:t>
      </w:r>
      <w:r>
        <w:rPr>
          <w:rFonts w:eastAsia="Times New Roman"/>
          <w:b/>
          <w:bCs/>
          <w:color w:val="auto"/>
          <w:spacing w:val="-2"/>
        </w:rPr>
        <w:t xml:space="preserve">5-8    </w:t>
      </w:r>
      <w:r>
        <w:rPr>
          <w:rFonts w:ascii="宋体" w:hAnsi="宋体" w:cs="宋体"/>
          <w:b/>
          <w:bCs/>
          <w:color w:val="auto"/>
          <w:spacing w:val="-2"/>
        </w:rPr>
        <w:t>大气污染物无组织排放量核算表</w:t>
      </w:r>
    </w:p>
    <w:tbl>
      <w:tblPr>
        <w:tblStyle w:val="61"/>
        <w:tblW w:w="906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8"/>
        <w:gridCol w:w="1454"/>
        <w:gridCol w:w="1155"/>
        <w:gridCol w:w="1306"/>
        <w:gridCol w:w="2015"/>
        <w:gridCol w:w="1421"/>
        <w:gridCol w:w="12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498" w:type="dxa"/>
            <w:vMerge w:val="restart"/>
            <w:tcBorders>
              <w:bottom w:val="nil"/>
            </w:tcBorders>
            <w:textDirection w:val="tbRlV"/>
            <w:vAlign w:val="center"/>
          </w:tcPr>
          <w:p>
            <w:pPr>
              <w:ind w:firstLine="0" w:firstLineChars="0"/>
              <w:jc w:val="center"/>
              <w:rPr>
                <w:color w:val="auto"/>
                <w:sz w:val="21"/>
                <w:szCs w:val="21"/>
              </w:rPr>
            </w:pPr>
            <w:r>
              <w:rPr>
                <w:color w:val="auto"/>
                <w:sz w:val="21"/>
                <w:szCs w:val="21"/>
              </w:rPr>
              <w:t>序 号</w:t>
            </w:r>
          </w:p>
        </w:tc>
        <w:tc>
          <w:tcPr>
            <w:tcW w:w="1454" w:type="dxa"/>
            <w:vMerge w:val="restart"/>
            <w:tcBorders>
              <w:bottom w:val="nil"/>
            </w:tcBorders>
            <w:vAlign w:val="center"/>
          </w:tcPr>
          <w:p>
            <w:pPr>
              <w:ind w:firstLine="0" w:firstLineChars="0"/>
              <w:jc w:val="center"/>
              <w:rPr>
                <w:color w:val="auto"/>
                <w:sz w:val="21"/>
                <w:szCs w:val="21"/>
              </w:rPr>
            </w:pPr>
          </w:p>
          <w:p>
            <w:pPr>
              <w:ind w:firstLine="0" w:firstLineChars="0"/>
              <w:jc w:val="center"/>
              <w:rPr>
                <w:color w:val="auto"/>
                <w:sz w:val="21"/>
                <w:szCs w:val="21"/>
              </w:rPr>
            </w:pPr>
            <w:r>
              <w:rPr>
                <w:color w:val="auto"/>
                <w:sz w:val="21"/>
                <w:szCs w:val="21"/>
              </w:rPr>
              <w:t>产污环节</w:t>
            </w:r>
          </w:p>
        </w:tc>
        <w:tc>
          <w:tcPr>
            <w:tcW w:w="1155" w:type="dxa"/>
            <w:vMerge w:val="restart"/>
            <w:tcBorders>
              <w:bottom w:val="nil"/>
            </w:tcBorders>
            <w:vAlign w:val="center"/>
          </w:tcPr>
          <w:p>
            <w:pPr>
              <w:ind w:firstLine="0" w:firstLineChars="0"/>
              <w:jc w:val="center"/>
              <w:rPr>
                <w:color w:val="auto"/>
                <w:sz w:val="21"/>
                <w:szCs w:val="21"/>
              </w:rPr>
            </w:pPr>
          </w:p>
          <w:p>
            <w:pPr>
              <w:ind w:firstLine="0" w:firstLineChars="0"/>
              <w:jc w:val="center"/>
              <w:rPr>
                <w:color w:val="auto"/>
                <w:sz w:val="21"/>
                <w:szCs w:val="21"/>
              </w:rPr>
            </w:pPr>
            <w:r>
              <w:rPr>
                <w:color w:val="auto"/>
                <w:sz w:val="21"/>
                <w:szCs w:val="21"/>
              </w:rPr>
              <w:t>污染物</w:t>
            </w:r>
          </w:p>
        </w:tc>
        <w:tc>
          <w:tcPr>
            <w:tcW w:w="1306" w:type="dxa"/>
            <w:vMerge w:val="restart"/>
            <w:tcBorders>
              <w:bottom w:val="nil"/>
            </w:tcBorders>
            <w:vAlign w:val="center"/>
          </w:tcPr>
          <w:p>
            <w:pPr>
              <w:ind w:firstLine="0" w:firstLineChars="0"/>
              <w:jc w:val="center"/>
              <w:rPr>
                <w:color w:val="auto"/>
                <w:sz w:val="21"/>
                <w:szCs w:val="21"/>
              </w:rPr>
            </w:pPr>
            <w:r>
              <w:rPr>
                <w:color w:val="auto"/>
                <w:sz w:val="21"/>
                <w:szCs w:val="21"/>
              </w:rPr>
              <w:t>主要污染防 治措施</w:t>
            </w:r>
          </w:p>
        </w:tc>
        <w:tc>
          <w:tcPr>
            <w:tcW w:w="3436" w:type="dxa"/>
            <w:gridSpan w:val="2"/>
            <w:vAlign w:val="center"/>
          </w:tcPr>
          <w:p>
            <w:pPr>
              <w:ind w:firstLine="0" w:firstLineChars="0"/>
              <w:jc w:val="center"/>
              <w:rPr>
                <w:color w:val="auto"/>
                <w:sz w:val="21"/>
                <w:szCs w:val="21"/>
              </w:rPr>
            </w:pPr>
            <w:r>
              <w:rPr>
                <w:color w:val="auto"/>
                <w:sz w:val="21"/>
                <w:szCs w:val="21"/>
              </w:rPr>
              <w:t>国家或地方污染物排放标准</w:t>
            </w:r>
          </w:p>
        </w:tc>
        <w:tc>
          <w:tcPr>
            <w:tcW w:w="1214" w:type="dxa"/>
            <w:vMerge w:val="restart"/>
            <w:tcBorders>
              <w:bottom w:val="nil"/>
            </w:tcBorders>
            <w:vAlign w:val="center"/>
          </w:tcPr>
          <w:p>
            <w:pPr>
              <w:ind w:firstLine="0" w:firstLineChars="0"/>
              <w:jc w:val="center"/>
              <w:rPr>
                <w:color w:val="auto"/>
                <w:sz w:val="21"/>
                <w:szCs w:val="21"/>
              </w:rPr>
            </w:pPr>
            <w:r>
              <w:rPr>
                <w:color w:val="auto"/>
                <w:sz w:val="21"/>
                <w:szCs w:val="21"/>
              </w:rPr>
              <w:t>年排放量 /(t/a)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jc w:val="center"/>
        </w:trPr>
        <w:tc>
          <w:tcPr>
            <w:tcW w:w="498" w:type="dxa"/>
            <w:vMerge w:val="continue"/>
            <w:tcBorders>
              <w:top w:val="nil"/>
            </w:tcBorders>
            <w:textDirection w:val="tbRlV"/>
            <w:vAlign w:val="center"/>
          </w:tcPr>
          <w:p>
            <w:pPr>
              <w:ind w:firstLine="0" w:firstLineChars="0"/>
              <w:jc w:val="center"/>
              <w:rPr>
                <w:color w:val="auto"/>
                <w:sz w:val="21"/>
                <w:szCs w:val="21"/>
              </w:rPr>
            </w:pPr>
          </w:p>
        </w:tc>
        <w:tc>
          <w:tcPr>
            <w:tcW w:w="1454" w:type="dxa"/>
            <w:vMerge w:val="continue"/>
            <w:tcBorders>
              <w:top w:val="nil"/>
            </w:tcBorders>
            <w:vAlign w:val="center"/>
          </w:tcPr>
          <w:p>
            <w:pPr>
              <w:ind w:firstLine="0" w:firstLineChars="0"/>
              <w:jc w:val="center"/>
              <w:rPr>
                <w:color w:val="auto"/>
                <w:sz w:val="21"/>
                <w:szCs w:val="21"/>
              </w:rPr>
            </w:pPr>
          </w:p>
        </w:tc>
        <w:tc>
          <w:tcPr>
            <w:tcW w:w="1155" w:type="dxa"/>
            <w:vMerge w:val="continue"/>
            <w:tcBorders>
              <w:top w:val="nil"/>
            </w:tcBorders>
            <w:vAlign w:val="center"/>
          </w:tcPr>
          <w:p>
            <w:pPr>
              <w:ind w:firstLine="0" w:firstLineChars="0"/>
              <w:jc w:val="center"/>
              <w:rPr>
                <w:color w:val="auto"/>
                <w:sz w:val="21"/>
                <w:szCs w:val="21"/>
              </w:rPr>
            </w:pPr>
          </w:p>
        </w:tc>
        <w:tc>
          <w:tcPr>
            <w:tcW w:w="1306" w:type="dxa"/>
            <w:vMerge w:val="continue"/>
            <w:tcBorders>
              <w:top w:val="nil"/>
            </w:tcBorders>
            <w:vAlign w:val="center"/>
          </w:tcPr>
          <w:p>
            <w:pPr>
              <w:ind w:firstLine="0" w:firstLineChars="0"/>
              <w:jc w:val="center"/>
              <w:rPr>
                <w:color w:val="auto"/>
                <w:sz w:val="21"/>
                <w:szCs w:val="21"/>
              </w:rPr>
            </w:pPr>
          </w:p>
        </w:tc>
        <w:tc>
          <w:tcPr>
            <w:tcW w:w="2015" w:type="dxa"/>
            <w:vAlign w:val="center"/>
          </w:tcPr>
          <w:p>
            <w:pPr>
              <w:ind w:firstLine="0" w:firstLineChars="0"/>
              <w:jc w:val="center"/>
              <w:rPr>
                <w:color w:val="auto"/>
                <w:sz w:val="21"/>
                <w:szCs w:val="21"/>
              </w:rPr>
            </w:pPr>
            <w:r>
              <w:rPr>
                <w:color w:val="auto"/>
                <w:sz w:val="21"/>
                <w:szCs w:val="21"/>
              </w:rPr>
              <w:t>标准名称</w:t>
            </w:r>
          </w:p>
        </w:tc>
        <w:tc>
          <w:tcPr>
            <w:tcW w:w="1421" w:type="dxa"/>
            <w:vAlign w:val="center"/>
          </w:tcPr>
          <w:p>
            <w:pPr>
              <w:ind w:firstLine="0" w:firstLineChars="0"/>
              <w:jc w:val="center"/>
              <w:rPr>
                <w:color w:val="auto"/>
                <w:sz w:val="21"/>
                <w:szCs w:val="21"/>
              </w:rPr>
            </w:pPr>
            <w:r>
              <w:rPr>
                <w:color w:val="auto"/>
                <w:sz w:val="21"/>
                <w:szCs w:val="21"/>
              </w:rPr>
              <w:t>浓度限值 /(mg/m³)</w:t>
            </w:r>
          </w:p>
        </w:tc>
        <w:tc>
          <w:tcPr>
            <w:tcW w:w="1214" w:type="dxa"/>
            <w:vMerge w:val="continue"/>
            <w:tcBorders>
              <w:top w:val="nil"/>
            </w:tcBorders>
            <w:vAlign w:val="center"/>
          </w:tcPr>
          <w:p>
            <w:pPr>
              <w:ind w:firstLine="0" w:firstLineChars="0"/>
              <w:jc w:val="center"/>
              <w:rPr>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498" w:type="dxa"/>
            <w:vAlign w:val="center"/>
          </w:tcPr>
          <w:p>
            <w:pPr>
              <w:ind w:firstLine="0" w:firstLineChars="0"/>
              <w:jc w:val="center"/>
              <w:rPr>
                <w:color w:val="auto"/>
                <w:sz w:val="21"/>
                <w:szCs w:val="21"/>
              </w:rPr>
            </w:pPr>
            <w:r>
              <w:rPr>
                <w:color w:val="auto"/>
                <w:sz w:val="21"/>
                <w:szCs w:val="21"/>
              </w:rPr>
              <w:t>1</w:t>
            </w:r>
          </w:p>
        </w:tc>
        <w:tc>
          <w:tcPr>
            <w:tcW w:w="1454" w:type="dxa"/>
            <w:vAlign w:val="center"/>
          </w:tcPr>
          <w:p>
            <w:pPr>
              <w:ind w:firstLine="0" w:firstLineChars="0"/>
              <w:jc w:val="center"/>
              <w:rPr>
                <w:color w:val="auto"/>
                <w:sz w:val="21"/>
                <w:szCs w:val="21"/>
              </w:rPr>
            </w:pPr>
            <w:r>
              <w:rPr>
                <w:color w:val="auto"/>
                <w:sz w:val="21"/>
                <w:szCs w:val="21"/>
              </w:rPr>
              <w:t>原料装卸</w:t>
            </w:r>
          </w:p>
        </w:tc>
        <w:tc>
          <w:tcPr>
            <w:tcW w:w="1155" w:type="dxa"/>
            <w:tcBorders>
              <w:bottom w:val="single" w:color="000000" w:sz="2" w:space="0"/>
            </w:tcBorders>
            <w:vAlign w:val="center"/>
          </w:tcPr>
          <w:p>
            <w:pPr>
              <w:ind w:firstLine="0" w:firstLineChars="0"/>
              <w:jc w:val="center"/>
              <w:rPr>
                <w:color w:val="auto"/>
                <w:sz w:val="21"/>
                <w:szCs w:val="21"/>
              </w:rPr>
            </w:pPr>
            <w:r>
              <w:rPr>
                <w:color w:val="auto"/>
                <w:sz w:val="21"/>
                <w:szCs w:val="21"/>
              </w:rPr>
              <w:t>粉尘</w:t>
            </w:r>
          </w:p>
        </w:tc>
        <w:tc>
          <w:tcPr>
            <w:tcW w:w="1306" w:type="dxa"/>
            <w:vMerge w:val="restart"/>
            <w:tcBorders>
              <w:bottom w:val="single" w:color="000000" w:sz="2" w:space="0"/>
            </w:tcBorders>
            <w:vAlign w:val="center"/>
          </w:tcPr>
          <w:p>
            <w:pPr>
              <w:ind w:firstLine="0" w:firstLineChars="0"/>
              <w:jc w:val="center"/>
              <w:rPr>
                <w:color w:val="auto"/>
                <w:sz w:val="21"/>
                <w:szCs w:val="21"/>
              </w:rPr>
            </w:pPr>
            <w:r>
              <w:rPr>
                <w:color w:val="auto"/>
                <w:sz w:val="21"/>
                <w:szCs w:val="21"/>
              </w:rPr>
              <w:t>加强厂区周 边绿化</w:t>
            </w:r>
            <w:r>
              <w:rPr>
                <w:rFonts w:hint="eastAsia"/>
                <w:color w:val="auto"/>
                <w:sz w:val="21"/>
                <w:szCs w:val="21"/>
              </w:rPr>
              <w:t>、围挡、洒水降尘等措施</w:t>
            </w:r>
          </w:p>
        </w:tc>
        <w:tc>
          <w:tcPr>
            <w:tcW w:w="2015" w:type="dxa"/>
            <w:vMerge w:val="restart"/>
            <w:tcBorders>
              <w:bottom w:val="single" w:color="000000" w:sz="2" w:space="0"/>
            </w:tcBorders>
            <w:vAlign w:val="center"/>
          </w:tcPr>
          <w:p>
            <w:pPr>
              <w:ind w:firstLine="0" w:firstLineChars="0"/>
              <w:jc w:val="center"/>
              <w:rPr>
                <w:color w:val="auto"/>
                <w:sz w:val="21"/>
                <w:szCs w:val="21"/>
              </w:rPr>
            </w:pPr>
            <w:r>
              <w:rPr>
                <w:rFonts w:hint="eastAsia"/>
                <w:color w:val="auto"/>
                <w:sz w:val="21"/>
                <w:szCs w:val="21"/>
              </w:rPr>
              <w:t>《水泥工业大气污染物排放标准》（GB 4915-2013）</w:t>
            </w:r>
          </w:p>
        </w:tc>
        <w:tc>
          <w:tcPr>
            <w:tcW w:w="1421" w:type="dxa"/>
            <w:vMerge w:val="restart"/>
            <w:vAlign w:val="center"/>
          </w:tcPr>
          <w:p>
            <w:pPr>
              <w:ind w:firstLine="0" w:firstLineChars="0"/>
              <w:jc w:val="center"/>
              <w:rPr>
                <w:color w:val="auto"/>
                <w:sz w:val="21"/>
                <w:szCs w:val="21"/>
              </w:rPr>
            </w:pPr>
            <w:r>
              <w:rPr>
                <w:rFonts w:hint="eastAsia"/>
                <w:color w:val="auto"/>
                <w:sz w:val="21"/>
                <w:szCs w:val="21"/>
              </w:rPr>
              <w:t>0.5</w:t>
            </w:r>
          </w:p>
        </w:tc>
        <w:tc>
          <w:tcPr>
            <w:tcW w:w="1214" w:type="dxa"/>
            <w:vAlign w:val="center"/>
          </w:tcPr>
          <w:p>
            <w:pPr>
              <w:ind w:firstLine="0" w:firstLineChars="0"/>
              <w:jc w:val="center"/>
              <w:rPr>
                <w:color w:val="auto"/>
                <w:sz w:val="21"/>
                <w:szCs w:val="21"/>
              </w:rPr>
            </w:pPr>
            <w:r>
              <w:rPr>
                <w:rFonts w:hint="eastAsia"/>
                <w:color w:val="auto"/>
                <w:sz w:val="21"/>
                <w:szCs w:val="21"/>
              </w:rPr>
              <w:t>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498" w:type="dxa"/>
            <w:vAlign w:val="center"/>
          </w:tcPr>
          <w:p>
            <w:pPr>
              <w:ind w:firstLine="0" w:firstLineChars="0"/>
              <w:jc w:val="center"/>
              <w:rPr>
                <w:color w:val="auto"/>
                <w:sz w:val="21"/>
                <w:szCs w:val="21"/>
              </w:rPr>
            </w:pPr>
            <w:r>
              <w:rPr>
                <w:color w:val="auto"/>
                <w:sz w:val="21"/>
                <w:szCs w:val="21"/>
              </w:rPr>
              <w:t>2</w:t>
            </w:r>
          </w:p>
        </w:tc>
        <w:tc>
          <w:tcPr>
            <w:tcW w:w="1454" w:type="dxa"/>
            <w:vAlign w:val="center"/>
          </w:tcPr>
          <w:p>
            <w:pPr>
              <w:ind w:firstLine="0" w:firstLineChars="0"/>
              <w:jc w:val="center"/>
              <w:rPr>
                <w:color w:val="auto"/>
                <w:sz w:val="21"/>
                <w:szCs w:val="21"/>
              </w:rPr>
            </w:pPr>
            <w:r>
              <w:rPr>
                <w:color w:val="auto"/>
                <w:sz w:val="21"/>
                <w:szCs w:val="21"/>
              </w:rPr>
              <w:t>汽车运输</w:t>
            </w:r>
          </w:p>
        </w:tc>
        <w:tc>
          <w:tcPr>
            <w:tcW w:w="1155" w:type="dxa"/>
            <w:tcBorders>
              <w:top w:val="single" w:color="000000" w:sz="2" w:space="0"/>
              <w:bottom w:val="single" w:color="000000" w:sz="2" w:space="0"/>
            </w:tcBorders>
            <w:vAlign w:val="center"/>
          </w:tcPr>
          <w:p>
            <w:pPr>
              <w:ind w:firstLine="0" w:firstLineChars="0"/>
              <w:jc w:val="center"/>
              <w:rPr>
                <w:color w:val="auto"/>
                <w:sz w:val="21"/>
                <w:szCs w:val="21"/>
              </w:rPr>
            </w:pPr>
            <w:r>
              <w:rPr>
                <w:color w:val="auto"/>
                <w:sz w:val="21"/>
                <w:szCs w:val="21"/>
              </w:rPr>
              <w:t>粉尘</w:t>
            </w:r>
          </w:p>
        </w:tc>
        <w:tc>
          <w:tcPr>
            <w:tcW w:w="1306" w:type="dxa"/>
            <w:vMerge w:val="continue"/>
            <w:tcBorders>
              <w:top w:val="single" w:color="000000" w:sz="2" w:space="0"/>
              <w:bottom w:val="single" w:color="000000" w:sz="2" w:space="0"/>
            </w:tcBorders>
            <w:vAlign w:val="center"/>
          </w:tcPr>
          <w:p>
            <w:pPr>
              <w:ind w:firstLine="0" w:firstLineChars="0"/>
              <w:jc w:val="center"/>
              <w:rPr>
                <w:color w:val="auto"/>
                <w:sz w:val="21"/>
                <w:szCs w:val="21"/>
              </w:rPr>
            </w:pPr>
          </w:p>
        </w:tc>
        <w:tc>
          <w:tcPr>
            <w:tcW w:w="2015" w:type="dxa"/>
            <w:vMerge w:val="continue"/>
            <w:tcBorders>
              <w:top w:val="single" w:color="000000" w:sz="2" w:space="0"/>
              <w:bottom w:val="single" w:color="000000" w:sz="2" w:space="0"/>
            </w:tcBorders>
            <w:vAlign w:val="center"/>
          </w:tcPr>
          <w:p>
            <w:pPr>
              <w:ind w:firstLine="0" w:firstLineChars="0"/>
              <w:jc w:val="center"/>
              <w:rPr>
                <w:color w:val="auto"/>
                <w:sz w:val="21"/>
                <w:szCs w:val="21"/>
              </w:rPr>
            </w:pPr>
          </w:p>
        </w:tc>
        <w:tc>
          <w:tcPr>
            <w:tcW w:w="1421" w:type="dxa"/>
            <w:vMerge w:val="continue"/>
            <w:vAlign w:val="center"/>
          </w:tcPr>
          <w:p>
            <w:pPr>
              <w:ind w:firstLine="0" w:firstLineChars="0"/>
              <w:jc w:val="center"/>
              <w:rPr>
                <w:color w:val="auto"/>
                <w:sz w:val="21"/>
                <w:szCs w:val="21"/>
              </w:rPr>
            </w:pPr>
          </w:p>
        </w:tc>
        <w:tc>
          <w:tcPr>
            <w:tcW w:w="1214" w:type="dxa"/>
            <w:vAlign w:val="center"/>
          </w:tcPr>
          <w:p>
            <w:pPr>
              <w:ind w:firstLine="0" w:firstLineChars="0"/>
              <w:jc w:val="center"/>
              <w:rPr>
                <w:color w:val="auto"/>
                <w:sz w:val="21"/>
                <w:szCs w:val="21"/>
              </w:rPr>
            </w:pPr>
            <w:r>
              <w:rPr>
                <w:color w:val="auto"/>
                <w:sz w:val="21"/>
                <w:szCs w:val="21"/>
              </w:rPr>
              <w:t>0.</w:t>
            </w:r>
            <w:r>
              <w:rPr>
                <w:rFonts w:hint="eastAsia"/>
                <w:color w:val="auto"/>
                <w:sz w:val="21"/>
                <w:szCs w:val="21"/>
              </w:rPr>
              <w:t>1405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498" w:type="dxa"/>
            <w:vAlign w:val="center"/>
          </w:tcPr>
          <w:p>
            <w:pPr>
              <w:ind w:firstLine="0" w:firstLineChars="0"/>
              <w:jc w:val="center"/>
              <w:rPr>
                <w:color w:val="auto"/>
                <w:sz w:val="21"/>
                <w:szCs w:val="21"/>
              </w:rPr>
            </w:pPr>
            <w:r>
              <w:rPr>
                <w:color w:val="auto"/>
                <w:sz w:val="21"/>
                <w:szCs w:val="21"/>
              </w:rPr>
              <w:t>3</w:t>
            </w:r>
          </w:p>
        </w:tc>
        <w:tc>
          <w:tcPr>
            <w:tcW w:w="1454" w:type="dxa"/>
            <w:vAlign w:val="center"/>
          </w:tcPr>
          <w:p>
            <w:pPr>
              <w:ind w:firstLine="0" w:firstLineChars="0"/>
              <w:jc w:val="center"/>
              <w:rPr>
                <w:color w:val="auto"/>
                <w:sz w:val="21"/>
                <w:szCs w:val="21"/>
              </w:rPr>
            </w:pPr>
            <w:r>
              <w:rPr>
                <w:rFonts w:hint="eastAsia"/>
                <w:color w:val="auto"/>
                <w:sz w:val="21"/>
                <w:szCs w:val="21"/>
              </w:rPr>
              <w:t>矿粉筒仓</w:t>
            </w:r>
          </w:p>
        </w:tc>
        <w:tc>
          <w:tcPr>
            <w:tcW w:w="1155" w:type="dxa"/>
            <w:tcBorders>
              <w:top w:val="single" w:color="000000" w:sz="2" w:space="0"/>
              <w:bottom w:val="single" w:color="000000" w:sz="2" w:space="0"/>
            </w:tcBorders>
            <w:vAlign w:val="center"/>
          </w:tcPr>
          <w:p>
            <w:pPr>
              <w:ind w:firstLine="0" w:firstLineChars="0"/>
              <w:jc w:val="center"/>
              <w:rPr>
                <w:color w:val="auto"/>
                <w:sz w:val="21"/>
                <w:szCs w:val="21"/>
              </w:rPr>
            </w:pPr>
            <w:r>
              <w:rPr>
                <w:color w:val="auto"/>
                <w:sz w:val="21"/>
                <w:szCs w:val="21"/>
              </w:rPr>
              <w:t>粉尘</w:t>
            </w:r>
          </w:p>
        </w:tc>
        <w:tc>
          <w:tcPr>
            <w:tcW w:w="1306" w:type="dxa"/>
            <w:vMerge w:val="continue"/>
            <w:tcBorders>
              <w:top w:val="single" w:color="000000" w:sz="2" w:space="0"/>
              <w:bottom w:val="single" w:color="000000" w:sz="2" w:space="0"/>
            </w:tcBorders>
            <w:vAlign w:val="center"/>
          </w:tcPr>
          <w:p>
            <w:pPr>
              <w:ind w:firstLine="0" w:firstLineChars="0"/>
              <w:jc w:val="center"/>
              <w:rPr>
                <w:color w:val="auto"/>
                <w:sz w:val="21"/>
                <w:szCs w:val="21"/>
              </w:rPr>
            </w:pPr>
          </w:p>
        </w:tc>
        <w:tc>
          <w:tcPr>
            <w:tcW w:w="2015" w:type="dxa"/>
            <w:vMerge w:val="continue"/>
            <w:tcBorders>
              <w:top w:val="single" w:color="000000" w:sz="2" w:space="0"/>
              <w:bottom w:val="single" w:color="000000" w:sz="2" w:space="0"/>
            </w:tcBorders>
            <w:vAlign w:val="center"/>
          </w:tcPr>
          <w:p>
            <w:pPr>
              <w:ind w:firstLine="0" w:firstLineChars="0"/>
              <w:jc w:val="center"/>
              <w:rPr>
                <w:color w:val="auto"/>
                <w:sz w:val="21"/>
                <w:szCs w:val="21"/>
              </w:rPr>
            </w:pPr>
          </w:p>
        </w:tc>
        <w:tc>
          <w:tcPr>
            <w:tcW w:w="1421" w:type="dxa"/>
            <w:vMerge w:val="continue"/>
            <w:vAlign w:val="center"/>
          </w:tcPr>
          <w:p>
            <w:pPr>
              <w:ind w:firstLine="0" w:firstLineChars="0"/>
              <w:jc w:val="center"/>
              <w:rPr>
                <w:color w:val="auto"/>
                <w:sz w:val="21"/>
                <w:szCs w:val="21"/>
              </w:rPr>
            </w:pPr>
          </w:p>
        </w:tc>
        <w:tc>
          <w:tcPr>
            <w:tcW w:w="1214" w:type="dxa"/>
            <w:vAlign w:val="center"/>
          </w:tcPr>
          <w:p>
            <w:pPr>
              <w:ind w:firstLine="0" w:firstLineChars="0"/>
              <w:jc w:val="center"/>
              <w:rPr>
                <w:color w:val="auto"/>
                <w:sz w:val="21"/>
                <w:szCs w:val="21"/>
              </w:rPr>
            </w:pPr>
            <w:r>
              <w:rPr>
                <w:color w:val="auto"/>
                <w:sz w:val="21"/>
                <w:szCs w:val="21"/>
              </w:rPr>
              <w:t>0.0</w:t>
            </w:r>
            <w:r>
              <w:rPr>
                <w:rFonts w:hint="eastAsia"/>
                <w:color w:val="auto"/>
                <w:sz w:val="21"/>
                <w:szCs w:val="21"/>
              </w:rPr>
              <w:t>014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498" w:type="dxa"/>
            <w:vAlign w:val="center"/>
          </w:tcPr>
          <w:p>
            <w:pPr>
              <w:ind w:firstLine="0" w:firstLineChars="0"/>
              <w:jc w:val="center"/>
              <w:rPr>
                <w:color w:val="auto"/>
                <w:sz w:val="21"/>
                <w:szCs w:val="21"/>
              </w:rPr>
            </w:pPr>
            <w:r>
              <w:rPr>
                <w:color w:val="auto"/>
                <w:sz w:val="21"/>
                <w:szCs w:val="21"/>
              </w:rPr>
              <w:t>4</w:t>
            </w:r>
          </w:p>
        </w:tc>
        <w:tc>
          <w:tcPr>
            <w:tcW w:w="1454" w:type="dxa"/>
            <w:vAlign w:val="center"/>
          </w:tcPr>
          <w:p>
            <w:pPr>
              <w:ind w:firstLine="0" w:firstLineChars="0"/>
              <w:jc w:val="center"/>
              <w:rPr>
                <w:color w:val="auto"/>
                <w:sz w:val="21"/>
                <w:szCs w:val="21"/>
              </w:rPr>
            </w:pPr>
            <w:r>
              <w:rPr>
                <w:color w:val="auto"/>
                <w:sz w:val="21"/>
                <w:szCs w:val="21"/>
              </w:rPr>
              <w:t>投料</w:t>
            </w:r>
          </w:p>
        </w:tc>
        <w:tc>
          <w:tcPr>
            <w:tcW w:w="1155" w:type="dxa"/>
            <w:tcBorders>
              <w:top w:val="single" w:color="000000" w:sz="2" w:space="0"/>
              <w:bottom w:val="single" w:color="000000" w:sz="2" w:space="0"/>
            </w:tcBorders>
            <w:vAlign w:val="center"/>
          </w:tcPr>
          <w:p>
            <w:pPr>
              <w:ind w:firstLine="0" w:firstLineChars="0"/>
              <w:jc w:val="center"/>
              <w:rPr>
                <w:color w:val="auto"/>
                <w:sz w:val="21"/>
                <w:szCs w:val="21"/>
              </w:rPr>
            </w:pPr>
            <w:r>
              <w:rPr>
                <w:color w:val="auto"/>
                <w:sz w:val="21"/>
                <w:szCs w:val="21"/>
              </w:rPr>
              <w:t>粉尘</w:t>
            </w:r>
          </w:p>
        </w:tc>
        <w:tc>
          <w:tcPr>
            <w:tcW w:w="1306" w:type="dxa"/>
            <w:vMerge w:val="continue"/>
            <w:tcBorders>
              <w:top w:val="single" w:color="000000" w:sz="2" w:space="0"/>
              <w:bottom w:val="single" w:color="000000" w:sz="2" w:space="0"/>
            </w:tcBorders>
            <w:vAlign w:val="center"/>
          </w:tcPr>
          <w:p>
            <w:pPr>
              <w:ind w:firstLine="0" w:firstLineChars="0"/>
              <w:jc w:val="center"/>
              <w:rPr>
                <w:color w:val="auto"/>
                <w:sz w:val="21"/>
                <w:szCs w:val="21"/>
              </w:rPr>
            </w:pPr>
          </w:p>
        </w:tc>
        <w:tc>
          <w:tcPr>
            <w:tcW w:w="2015" w:type="dxa"/>
            <w:vMerge w:val="continue"/>
            <w:tcBorders>
              <w:top w:val="single" w:color="000000" w:sz="2" w:space="0"/>
              <w:bottom w:val="single" w:color="000000" w:sz="2" w:space="0"/>
            </w:tcBorders>
            <w:vAlign w:val="center"/>
          </w:tcPr>
          <w:p>
            <w:pPr>
              <w:ind w:firstLine="0" w:firstLineChars="0"/>
              <w:jc w:val="center"/>
              <w:rPr>
                <w:color w:val="auto"/>
                <w:sz w:val="21"/>
                <w:szCs w:val="21"/>
              </w:rPr>
            </w:pPr>
          </w:p>
        </w:tc>
        <w:tc>
          <w:tcPr>
            <w:tcW w:w="1421" w:type="dxa"/>
            <w:vMerge w:val="continue"/>
            <w:vAlign w:val="center"/>
          </w:tcPr>
          <w:p>
            <w:pPr>
              <w:ind w:firstLine="0" w:firstLineChars="0"/>
              <w:jc w:val="center"/>
              <w:rPr>
                <w:color w:val="auto"/>
                <w:sz w:val="21"/>
                <w:szCs w:val="21"/>
              </w:rPr>
            </w:pPr>
          </w:p>
        </w:tc>
        <w:tc>
          <w:tcPr>
            <w:tcW w:w="1214" w:type="dxa"/>
            <w:vAlign w:val="center"/>
          </w:tcPr>
          <w:p>
            <w:pPr>
              <w:ind w:firstLine="0" w:firstLineChars="0"/>
              <w:jc w:val="center"/>
              <w:rPr>
                <w:color w:val="auto"/>
                <w:sz w:val="21"/>
                <w:szCs w:val="21"/>
              </w:rPr>
            </w:pPr>
            <w:r>
              <w:rPr>
                <w:color w:val="auto"/>
                <w:sz w:val="21"/>
                <w:szCs w:val="21"/>
              </w:rPr>
              <w:t>0.0</w:t>
            </w:r>
            <w:r>
              <w:rPr>
                <w:rFonts w:hint="eastAsia"/>
                <w:color w:val="auto"/>
                <w:sz w:val="21"/>
                <w:szCs w:val="21"/>
              </w:rPr>
              <w:t>035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498" w:type="dxa"/>
            <w:vAlign w:val="center"/>
          </w:tcPr>
          <w:p>
            <w:pPr>
              <w:ind w:firstLine="0" w:firstLineChars="0"/>
              <w:jc w:val="center"/>
              <w:rPr>
                <w:color w:val="auto"/>
                <w:sz w:val="21"/>
                <w:szCs w:val="21"/>
              </w:rPr>
            </w:pPr>
            <w:r>
              <w:rPr>
                <w:rFonts w:hint="eastAsia"/>
                <w:color w:val="auto"/>
                <w:sz w:val="21"/>
                <w:szCs w:val="21"/>
              </w:rPr>
              <w:t>5</w:t>
            </w:r>
          </w:p>
        </w:tc>
        <w:tc>
          <w:tcPr>
            <w:tcW w:w="1454" w:type="dxa"/>
            <w:vAlign w:val="center"/>
          </w:tcPr>
          <w:p>
            <w:pPr>
              <w:ind w:firstLine="0" w:firstLineChars="0"/>
              <w:jc w:val="center"/>
              <w:rPr>
                <w:color w:val="auto"/>
                <w:sz w:val="21"/>
                <w:szCs w:val="21"/>
              </w:rPr>
            </w:pPr>
            <w:r>
              <w:rPr>
                <w:rFonts w:hint="eastAsia"/>
                <w:color w:val="auto"/>
                <w:sz w:val="21"/>
                <w:szCs w:val="21"/>
              </w:rPr>
              <w:t>搅拌</w:t>
            </w:r>
          </w:p>
        </w:tc>
        <w:tc>
          <w:tcPr>
            <w:tcW w:w="1155" w:type="dxa"/>
            <w:tcBorders>
              <w:top w:val="single" w:color="000000" w:sz="2" w:space="0"/>
              <w:bottom w:val="single" w:color="000000" w:sz="2" w:space="0"/>
            </w:tcBorders>
            <w:vAlign w:val="center"/>
          </w:tcPr>
          <w:p>
            <w:pPr>
              <w:ind w:firstLine="0" w:firstLineChars="0"/>
              <w:jc w:val="center"/>
              <w:rPr>
                <w:color w:val="auto"/>
                <w:sz w:val="21"/>
                <w:szCs w:val="21"/>
              </w:rPr>
            </w:pPr>
            <w:r>
              <w:rPr>
                <w:color w:val="auto"/>
                <w:sz w:val="21"/>
                <w:szCs w:val="21"/>
              </w:rPr>
              <w:t>粉尘</w:t>
            </w:r>
          </w:p>
        </w:tc>
        <w:tc>
          <w:tcPr>
            <w:tcW w:w="1306" w:type="dxa"/>
            <w:vMerge w:val="continue"/>
            <w:tcBorders>
              <w:top w:val="single" w:color="000000" w:sz="2" w:space="0"/>
              <w:bottom w:val="single" w:color="000000" w:sz="2" w:space="0"/>
            </w:tcBorders>
            <w:vAlign w:val="center"/>
          </w:tcPr>
          <w:p>
            <w:pPr>
              <w:ind w:firstLine="0" w:firstLineChars="0"/>
              <w:jc w:val="center"/>
              <w:rPr>
                <w:color w:val="auto"/>
                <w:sz w:val="21"/>
                <w:szCs w:val="21"/>
              </w:rPr>
            </w:pPr>
          </w:p>
        </w:tc>
        <w:tc>
          <w:tcPr>
            <w:tcW w:w="2015" w:type="dxa"/>
            <w:vMerge w:val="continue"/>
            <w:tcBorders>
              <w:top w:val="single" w:color="000000" w:sz="2" w:space="0"/>
              <w:bottom w:val="single" w:color="000000" w:sz="2" w:space="0"/>
            </w:tcBorders>
            <w:vAlign w:val="center"/>
          </w:tcPr>
          <w:p>
            <w:pPr>
              <w:ind w:firstLine="0" w:firstLineChars="0"/>
              <w:jc w:val="center"/>
              <w:rPr>
                <w:color w:val="auto"/>
                <w:sz w:val="21"/>
                <w:szCs w:val="21"/>
              </w:rPr>
            </w:pPr>
          </w:p>
        </w:tc>
        <w:tc>
          <w:tcPr>
            <w:tcW w:w="1421" w:type="dxa"/>
            <w:vMerge w:val="continue"/>
            <w:vAlign w:val="center"/>
          </w:tcPr>
          <w:p>
            <w:pPr>
              <w:ind w:firstLine="0" w:firstLineChars="0"/>
              <w:jc w:val="center"/>
              <w:rPr>
                <w:color w:val="auto"/>
                <w:sz w:val="21"/>
                <w:szCs w:val="21"/>
              </w:rPr>
            </w:pPr>
          </w:p>
        </w:tc>
        <w:tc>
          <w:tcPr>
            <w:tcW w:w="1214" w:type="dxa"/>
            <w:vAlign w:val="center"/>
          </w:tcPr>
          <w:p>
            <w:pPr>
              <w:ind w:firstLine="0" w:firstLineChars="0"/>
              <w:jc w:val="center"/>
              <w:rPr>
                <w:color w:val="auto"/>
                <w:sz w:val="21"/>
                <w:szCs w:val="21"/>
              </w:rPr>
            </w:pPr>
            <w:r>
              <w:rPr>
                <w:rFonts w:hint="eastAsia"/>
                <w:color w:val="auto"/>
                <w:sz w:val="21"/>
                <w:szCs w:val="21"/>
              </w:rPr>
              <w:t>0.092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498" w:type="dxa"/>
            <w:vAlign w:val="center"/>
          </w:tcPr>
          <w:p>
            <w:pPr>
              <w:ind w:firstLine="0" w:firstLineChars="0"/>
              <w:jc w:val="center"/>
              <w:rPr>
                <w:color w:val="auto"/>
                <w:sz w:val="21"/>
                <w:szCs w:val="21"/>
              </w:rPr>
            </w:pPr>
            <w:r>
              <w:rPr>
                <w:color w:val="auto"/>
                <w:sz w:val="21"/>
                <w:szCs w:val="21"/>
              </w:rPr>
              <w:t>5</w:t>
            </w:r>
          </w:p>
        </w:tc>
        <w:tc>
          <w:tcPr>
            <w:tcW w:w="1454" w:type="dxa"/>
            <w:vAlign w:val="center"/>
          </w:tcPr>
          <w:p>
            <w:pPr>
              <w:ind w:firstLine="0" w:firstLineChars="0"/>
              <w:jc w:val="center"/>
              <w:rPr>
                <w:color w:val="auto"/>
                <w:sz w:val="21"/>
                <w:szCs w:val="21"/>
              </w:rPr>
            </w:pPr>
            <w:r>
              <w:rPr>
                <w:rFonts w:hint="eastAsia"/>
                <w:color w:val="auto"/>
                <w:sz w:val="21"/>
                <w:szCs w:val="21"/>
              </w:rPr>
              <w:t>粉料筒仓</w:t>
            </w:r>
          </w:p>
        </w:tc>
        <w:tc>
          <w:tcPr>
            <w:tcW w:w="1155" w:type="dxa"/>
            <w:tcBorders>
              <w:top w:val="single" w:color="000000" w:sz="2" w:space="0"/>
              <w:bottom w:val="single" w:color="000000" w:sz="2" w:space="0"/>
            </w:tcBorders>
            <w:vAlign w:val="center"/>
          </w:tcPr>
          <w:p>
            <w:pPr>
              <w:ind w:firstLine="0" w:firstLineChars="0"/>
              <w:jc w:val="center"/>
              <w:rPr>
                <w:color w:val="auto"/>
                <w:sz w:val="21"/>
                <w:szCs w:val="21"/>
              </w:rPr>
            </w:pPr>
            <w:r>
              <w:rPr>
                <w:color w:val="auto"/>
                <w:sz w:val="21"/>
                <w:szCs w:val="21"/>
              </w:rPr>
              <w:t>粉尘</w:t>
            </w:r>
          </w:p>
        </w:tc>
        <w:tc>
          <w:tcPr>
            <w:tcW w:w="1306" w:type="dxa"/>
            <w:vMerge w:val="continue"/>
            <w:tcBorders>
              <w:top w:val="single" w:color="000000" w:sz="2" w:space="0"/>
              <w:bottom w:val="single" w:color="000000" w:sz="2" w:space="0"/>
            </w:tcBorders>
            <w:vAlign w:val="center"/>
          </w:tcPr>
          <w:p>
            <w:pPr>
              <w:ind w:firstLine="0" w:firstLineChars="0"/>
              <w:jc w:val="center"/>
              <w:rPr>
                <w:color w:val="auto"/>
                <w:sz w:val="21"/>
                <w:szCs w:val="21"/>
              </w:rPr>
            </w:pPr>
          </w:p>
        </w:tc>
        <w:tc>
          <w:tcPr>
            <w:tcW w:w="2015" w:type="dxa"/>
            <w:vMerge w:val="continue"/>
            <w:tcBorders>
              <w:top w:val="single" w:color="000000" w:sz="2" w:space="0"/>
              <w:bottom w:val="single" w:color="000000" w:sz="2" w:space="0"/>
            </w:tcBorders>
            <w:vAlign w:val="center"/>
          </w:tcPr>
          <w:p>
            <w:pPr>
              <w:ind w:firstLine="0" w:firstLineChars="0"/>
              <w:jc w:val="center"/>
              <w:rPr>
                <w:color w:val="auto"/>
                <w:sz w:val="21"/>
                <w:szCs w:val="21"/>
              </w:rPr>
            </w:pPr>
          </w:p>
        </w:tc>
        <w:tc>
          <w:tcPr>
            <w:tcW w:w="1421" w:type="dxa"/>
            <w:vMerge w:val="continue"/>
            <w:vAlign w:val="center"/>
          </w:tcPr>
          <w:p>
            <w:pPr>
              <w:ind w:firstLine="0" w:firstLineChars="0"/>
              <w:jc w:val="center"/>
              <w:rPr>
                <w:color w:val="auto"/>
                <w:sz w:val="21"/>
                <w:szCs w:val="21"/>
              </w:rPr>
            </w:pPr>
          </w:p>
        </w:tc>
        <w:tc>
          <w:tcPr>
            <w:tcW w:w="1214" w:type="dxa"/>
            <w:vAlign w:val="center"/>
          </w:tcPr>
          <w:p>
            <w:pPr>
              <w:ind w:firstLine="0" w:firstLineChars="0"/>
              <w:jc w:val="center"/>
              <w:rPr>
                <w:color w:val="auto"/>
                <w:sz w:val="21"/>
                <w:szCs w:val="21"/>
              </w:rPr>
            </w:pPr>
            <w:r>
              <w:rPr>
                <w:color w:val="auto"/>
                <w:sz w:val="21"/>
                <w:szCs w:val="21"/>
              </w:rPr>
              <w:t>0.</w:t>
            </w:r>
            <w:r>
              <w:rPr>
                <w:rFonts w:hint="eastAsia"/>
                <w:color w:val="auto"/>
                <w:sz w:val="21"/>
                <w:szCs w:val="21"/>
              </w:rPr>
              <w:t>29</w:t>
            </w:r>
          </w:p>
        </w:tc>
      </w:tr>
    </w:tbl>
    <w:p>
      <w:pPr>
        <w:pStyle w:val="2"/>
        <w:spacing w:after="0"/>
        <w:ind w:firstLine="0" w:firstLineChars="0"/>
        <w:jc w:val="left"/>
        <w:rPr>
          <w:rFonts w:hint="eastAsia" w:ascii="宋体" w:hAnsi="宋体" w:cs="宋体"/>
          <w:color w:val="auto"/>
          <w:spacing w:val="-1"/>
          <w:sz w:val="24"/>
        </w:rPr>
      </w:pPr>
    </w:p>
    <w:p>
      <w:pPr>
        <w:pStyle w:val="4"/>
        <w:rPr>
          <w:color w:val="auto"/>
        </w:rPr>
      </w:pPr>
      <w:r>
        <w:rPr>
          <w:rFonts w:hint="eastAsia"/>
          <w:color w:val="auto"/>
        </w:rPr>
        <w:t>6监测计划</w:t>
      </w:r>
    </w:p>
    <w:p>
      <w:pPr>
        <w:autoSpaceDE w:val="0"/>
        <w:autoSpaceDN w:val="0"/>
        <w:adjustRightInd w:val="0"/>
        <w:ind w:firstLine="480"/>
        <w:rPr>
          <w:color w:val="auto"/>
        </w:rPr>
      </w:pPr>
      <w:r>
        <w:rPr>
          <w:rFonts w:hint="eastAsia"/>
          <w:color w:val="auto"/>
        </w:rPr>
        <w:t>根据《排污单位自行监测技术指南 总则》(HJ 819-2017)、参照《排污许可证申请与核发技术规范石墨及其他 非金属矿物制品制造》中自行监测的要求，本项目自行监测计划详见下表。</w:t>
      </w:r>
    </w:p>
    <w:p>
      <w:pPr>
        <w:pStyle w:val="26"/>
        <w:ind w:firstLine="0" w:firstLineChars="0"/>
        <w:jc w:val="center"/>
        <w:rPr>
          <w:color w:val="auto"/>
        </w:rPr>
      </w:pPr>
      <w:r>
        <w:rPr>
          <w:rFonts w:hint="eastAsia"/>
          <w:color w:val="auto"/>
        </w:rPr>
        <w:t>表6-1</w:t>
      </w:r>
      <w:r>
        <w:rPr>
          <w:color w:val="auto"/>
        </w:rPr>
        <w:t>废</w:t>
      </w:r>
      <w:r>
        <w:rPr>
          <w:rFonts w:hint="eastAsia"/>
          <w:color w:val="auto"/>
        </w:rPr>
        <w:t>气</w:t>
      </w:r>
      <w:r>
        <w:rPr>
          <w:color w:val="auto"/>
        </w:rPr>
        <w:t>排放监测要求</w:t>
      </w:r>
    </w:p>
    <w:tbl>
      <w:tblPr>
        <w:tblStyle w:val="32"/>
        <w:tblW w:w="4908" w:type="pct"/>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5"/>
        <w:gridCol w:w="979"/>
        <w:gridCol w:w="2012"/>
        <w:gridCol w:w="3427"/>
        <w:gridCol w:w="1282"/>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7" w:type="pct"/>
            <w:tcBorders>
              <w:top w:val="single" w:color="000000" w:sz="12" w:space="0"/>
            </w:tcBorders>
            <w:vAlign w:val="center"/>
          </w:tcPr>
          <w:p>
            <w:pPr>
              <w:ind w:firstLine="0" w:firstLineChars="0"/>
              <w:rPr>
                <w:color w:val="auto"/>
                <w:sz w:val="21"/>
                <w:szCs w:val="21"/>
              </w:rPr>
            </w:pPr>
            <w:r>
              <w:rPr>
                <w:color w:val="auto"/>
                <w:sz w:val="21"/>
                <w:szCs w:val="21"/>
              </w:rPr>
              <w:t>序号</w:t>
            </w:r>
          </w:p>
        </w:tc>
        <w:tc>
          <w:tcPr>
            <w:tcW w:w="585" w:type="pct"/>
            <w:tcBorders>
              <w:top w:val="single" w:color="000000" w:sz="12" w:space="0"/>
            </w:tcBorders>
            <w:vAlign w:val="center"/>
          </w:tcPr>
          <w:p>
            <w:pPr>
              <w:ind w:firstLine="0" w:firstLineChars="0"/>
              <w:jc w:val="center"/>
              <w:rPr>
                <w:color w:val="auto"/>
                <w:sz w:val="21"/>
                <w:szCs w:val="21"/>
              </w:rPr>
            </w:pPr>
            <w:r>
              <w:rPr>
                <w:color w:val="auto"/>
                <w:sz w:val="21"/>
                <w:szCs w:val="21"/>
              </w:rPr>
              <w:t>排放号</w:t>
            </w:r>
          </w:p>
        </w:tc>
        <w:tc>
          <w:tcPr>
            <w:tcW w:w="1202" w:type="pct"/>
            <w:tcBorders>
              <w:top w:val="single" w:color="000000" w:sz="12" w:space="0"/>
            </w:tcBorders>
            <w:vAlign w:val="center"/>
          </w:tcPr>
          <w:p>
            <w:pPr>
              <w:ind w:firstLine="0" w:firstLineChars="0"/>
              <w:jc w:val="center"/>
              <w:rPr>
                <w:color w:val="auto"/>
                <w:sz w:val="21"/>
                <w:szCs w:val="21"/>
              </w:rPr>
            </w:pPr>
            <w:r>
              <w:rPr>
                <w:color w:val="auto"/>
                <w:sz w:val="21"/>
                <w:szCs w:val="21"/>
              </w:rPr>
              <w:t>监测点位</w:t>
            </w:r>
          </w:p>
        </w:tc>
        <w:tc>
          <w:tcPr>
            <w:tcW w:w="2047" w:type="pct"/>
            <w:tcBorders>
              <w:top w:val="single" w:color="000000" w:sz="12" w:space="0"/>
            </w:tcBorders>
            <w:vAlign w:val="center"/>
          </w:tcPr>
          <w:p>
            <w:pPr>
              <w:ind w:firstLine="0" w:firstLineChars="0"/>
              <w:jc w:val="center"/>
              <w:rPr>
                <w:color w:val="auto"/>
                <w:sz w:val="21"/>
                <w:szCs w:val="21"/>
              </w:rPr>
            </w:pPr>
            <w:r>
              <w:rPr>
                <w:color w:val="auto"/>
                <w:sz w:val="21"/>
                <w:szCs w:val="21"/>
              </w:rPr>
              <w:t>监测因子</w:t>
            </w:r>
          </w:p>
        </w:tc>
        <w:tc>
          <w:tcPr>
            <w:tcW w:w="766" w:type="pct"/>
            <w:tcBorders>
              <w:top w:val="single" w:color="000000" w:sz="12" w:space="0"/>
              <w:right w:val="nil"/>
            </w:tcBorders>
            <w:vAlign w:val="center"/>
          </w:tcPr>
          <w:p>
            <w:pPr>
              <w:ind w:firstLine="0" w:firstLineChars="0"/>
              <w:jc w:val="center"/>
              <w:rPr>
                <w:color w:val="auto"/>
                <w:sz w:val="21"/>
                <w:szCs w:val="21"/>
              </w:rPr>
            </w:pPr>
            <w:r>
              <w:rPr>
                <w:color w:val="auto"/>
                <w:sz w:val="21"/>
                <w:szCs w:val="21"/>
              </w:rPr>
              <w:t>监测频次</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7" w:type="pct"/>
            <w:vMerge w:val="restart"/>
            <w:vAlign w:val="center"/>
          </w:tcPr>
          <w:p>
            <w:pPr>
              <w:pStyle w:val="26"/>
              <w:ind w:firstLine="0" w:firstLineChars="0"/>
              <w:jc w:val="center"/>
              <w:rPr>
                <w:color w:val="auto"/>
                <w:sz w:val="21"/>
                <w:szCs w:val="21"/>
              </w:rPr>
            </w:pPr>
            <w:r>
              <w:rPr>
                <w:color w:val="auto"/>
                <w:sz w:val="21"/>
                <w:szCs w:val="21"/>
              </w:rPr>
              <w:t>1</w:t>
            </w:r>
          </w:p>
        </w:tc>
        <w:tc>
          <w:tcPr>
            <w:tcW w:w="585" w:type="pct"/>
            <w:vMerge w:val="restart"/>
            <w:vAlign w:val="center"/>
          </w:tcPr>
          <w:p>
            <w:pPr>
              <w:ind w:firstLine="0" w:firstLineChars="0"/>
              <w:jc w:val="center"/>
              <w:rPr>
                <w:color w:val="auto"/>
                <w:sz w:val="21"/>
                <w:szCs w:val="21"/>
              </w:rPr>
            </w:pPr>
            <w:r>
              <w:rPr>
                <w:rFonts w:hint="eastAsia"/>
                <w:color w:val="auto"/>
                <w:sz w:val="21"/>
                <w:szCs w:val="21"/>
              </w:rPr>
              <w:t>DA001</w:t>
            </w:r>
          </w:p>
        </w:tc>
        <w:tc>
          <w:tcPr>
            <w:tcW w:w="1202" w:type="pct"/>
            <w:vMerge w:val="restart"/>
            <w:vAlign w:val="center"/>
          </w:tcPr>
          <w:p>
            <w:pPr>
              <w:pStyle w:val="78"/>
              <w:adjustRightInd w:val="0"/>
              <w:spacing w:line="360" w:lineRule="auto"/>
              <w:ind w:firstLine="0" w:firstLineChars="0"/>
              <w:rPr>
                <w:color w:val="auto"/>
                <w:sz w:val="21"/>
              </w:rPr>
            </w:pPr>
            <w:r>
              <w:rPr>
                <w:rFonts w:hint="eastAsia"/>
                <w:color w:val="auto"/>
                <w:sz w:val="21"/>
              </w:rPr>
              <w:t>排气筒出气口</w:t>
            </w:r>
          </w:p>
        </w:tc>
        <w:tc>
          <w:tcPr>
            <w:tcW w:w="2047" w:type="pct"/>
            <w:vAlign w:val="center"/>
          </w:tcPr>
          <w:p>
            <w:pPr>
              <w:ind w:firstLine="0" w:firstLineChars="0"/>
              <w:jc w:val="center"/>
              <w:rPr>
                <w:color w:val="auto"/>
                <w:sz w:val="21"/>
                <w:szCs w:val="21"/>
              </w:rPr>
            </w:pPr>
            <w:r>
              <w:rPr>
                <w:rFonts w:hint="eastAsia"/>
                <w:color w:val="auto"/>
                <w:sz w:val="21"/>
                <w:szCs w:val="21"/>
              </w:rPr>
              <w:t>颗粒物、SO</w:t>
            </w:r>
            <w:r>
              <w:rPr>
                <w:rFonts w:hint="eastAsia"/>
                <w:color w:val="auto"/>
                <w:sz w:val="21"/>
                <w:szCs w:val="21"/>
                <w:vertAlign w:val="subscript"/>
              </w:rPr>
              <w:t>2</w:t>
            </w:r>
          </w:p>
        </w:tc>
        <w:tc>
          <w:tcPr>
            <w:tcW w:w="766" w:type="pct"/>
            <w:tcBorders>
              <w:right w:val="nil"/>
            </w:tcBorders>
            <w:vAlign w:val="center"/>
          </w:tcPr>
          <w:p>
            <w:pPr>
              <w:ind w:firstLine="0" w:firstLineChars="0"/>
              <w:jc w:val="center"/>
              <w:rPr>
                <w:color w:val="auto"/>
                <w:sz w:val="21"/>
                <w:szCs w:val="21"/>
              </w:rPr>
            </w:pPr>
            <w:r>
              <w:rPr>
                <w:color w:val="auto"/>
                <w:sz w:val="21"/>
                <w:szCs w:val="21"/>
              </w:rPr>
              <w:t>1次/</w:t>
            </w:r>
            <w:r>
              <w:rPr>
                <w:rFonts w:hint="eastAsia"/>
                <w:color w:val="auto"/>
                <w:sz w:val="21"/>
                <w:szCs w:val="21"/>
              </w:rPr>
              <w:t>1</w:t>
            </w:r>
            <w:r>
              <w:rPr>
                <w:color w:val="auto"/>
                <w:sz w:val="21"/>
                <w:szCs w:val="21"/>
              </w:rPr>
              <w:t>年</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7" w:type="pct"/>
            <w:vMerge w:val="continue"/>
            <w:vAlign w:val="center"/>
          </w:tcPr>
          <w:p>
            <w:pPr>
              <w:pStyle w:val="26"/>
              <w:ind w:firstLine="0" w:firstLineChars="0"/>
              <w:jc w:val="center"/>
              <w:rPr>
                <w:color w:val="auto"/>
                <w:sz w:val="21"/>
                <w:szCs w:val="21"/>
              </w:rPr>
            </w:pPr>
          </w:p>
        </w:tc>
        <w:tc>
          <w:tcPr>
            <w:tcW w:w="585" w:type="pct"/>
            <w:vMerge w:val="continue"/>
            <w:vAlign w:val="center"/>
          </w:tcPr>
          <w:p>
            <w:pPr>
              <w:ind w:firstLine="0" w:firstLineChars="0"/>
              <w:jc w:val="center"/>
              <w:rPr>
                <w:color w:val="auto"/>
                <w:sz w:val="21"/>
                <w:szCs w:val="21"/>
              </w:rPr>
            </w:pPr>
          </w:p>
        </w:tc>
        <w:tc>
          <w:tcPr>
            <w:tcW w:w="1202" w:type="pct"/>
            <w:vMerge w:val="continue"/>
            <w:vAlign w:val="center"/>
          </w:tcPr>
          <w:p>
            <w:pPr>
              <w:pStyle w:val="78"/>
              <w:adjustRightInd w:val="0"/>
              <w:spacing w:line="360" w:lineRule="auto"/>
              <w:ind w:firstLine="0" w:firstLineChars="0"/>
              <w:rPr>
                <w:color w:val="auto"/>
                <w:sz w:val="21"/>
              </w:rPr>
            </w:pPr>
          </w:p>
        </w:tc>
        <w:tc>
          <w:tcPr>
            <w:tcW w:w="2047" w:type="pct"/>
            <w:vAlign w:val="center"/>
          </w:tcPr>
          <w:p>
            <w:pPr>
              <w:ind w:firstLine="0" w:firstLineChars="0"/>
              <w:jc w:val="center"/>
              <w:rPr>
                <w:color w:val="auto"/>
                <w:sz w:val="21"/>
                <w:szCs w:val="21"/>
              </w:rPr>
            </w:pPr>
            <w:r>
              <w:rPr>
                <w:rFonts w:hint="eastAsia"/>
                <w:color w:val="auto"/>
                <w:sz w:val="21"/>
                <w:szCs w:val="21"/>
              </w:rPr>
              <w:t>NO</w:t>
            </w:r>
            <w:r>
              <w:rPr>
                <w:rFonts w:hint="eastAsia"/>
                <w:color w:val="auto"/>
                <w:sz w:val="21"/>
                <w:szCs w:val="21"/>
                <w:vertAlign w:val="subscript"/>
              </w:rPr>
              <w:t>x</w:t>
            </w:r>
          </w:p>
        </w:tc>
        <w:tc>
          <w:tcPr>
            <w:tcW w:w="766" w:type="pct"/>
            <w:tcBorders>
              <w:right w:val="nil"/>
            </w:tcBorders>
            <w:vAlign w:val="center"/>
          </w:tcPr>
          <w:p>
            <w:pPr>
              <w:ind w:firstLine="0" w:firstLineChars="0"/>
              <w:jc w:val="center"/>
              <w:rPr>
                <w:color w:val="auto"/>
                <w:sz w:val="21"/>
                <w:szCs w:val="21"/>
              </w:rPr>
            </w:pPr>
            <w:r>
              <w:rPr>
                <w:color w:val="auto"/>
                <w:sz w:val="21"/>
                <w:szCs w:val="21"/>
              </w:rPr>
              <w:t>1次/</w:t>
            </w:r>
            <w:r>
              <w:rPr>
                <w:rFonts w:hint="eastAsia"/>
                <w:color w:val="auto"/>
                <w:sz w:val="21"/>
                <w:szCs w:val="21"/>
              </w:rPr>
              <w:t>1月</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7" w:type="pct"/>
            <w:vMerge w:val="restart"/>
            <w:vAlign w:val="center"/>
          </w:tcPr>
          <w:p>
            <w:pPr>
              <w:pStyle w:val="26"/>
              <w:ind w:firstLine="0" w:firstLineChars="0"/>
              <w:jc w:val="center"/>
              <w:rPr>
                <w:color w:val="auto"/>
                <w:sz w:val="21"/>
                <w:szCs w:val="21"/>
              </w:rPr>
            </w:pPr>
            <w:r>
              <w:rPr>
                <w:rFonts w:hint="eastAsia"/>
                <w:color w:val="auto"/>
                <w:sz w:val="21"/>
                <w:szCs w:val="21"/>
              </w:rPr>
              <w:t>2</w:t>
            </w:r>
          </w:p>
        </w:tc>
        <w:tc>
          <w:tcPr>
            <w:tcW w:w="585" w:type="pct"/>
            <w:vMerge w:val="restart"/>
            <w:vAlign w:val="center"/>
          </w:tcPr>
          <w:p>
            <w:pPr>
              <w:ind w:firstLine="0" w:firstLineChars="0"/>
              <w:jc w:val="center"/>
              <w:rPr>
                <w:color w:val="auto"/>
                <w:sz w:val="21"/>
                <w:szCs w:val="21"/>
              </w:rPr>
            </w:pPr>
            <w:r>
              <w:rPr>
                <w:rFonts w:hint="eastAsia"/>
                <w:color w:val="auto"/>
                <w:sz w:val="21"/>
                <w:szCs w:val="21"/>
              </w:rPr>
              <w:t>DA002</w:t>
            </w:r>
          </w:p>
        </w:tc>
        <w:tc>
          <w:tcPr>
            <w:tcW w:w="1202" w:type="pct"/>
            <w:vMerge w:val="restart"/>
            <w:vAlign w:val="center"/>
          </w:tcPr>
          <w:p>
            <w:pPr>
              <w:pStyle w:val="78"/>
              <w:adjustRightInd w:val="0"/>
              <w:spacing w:line="360" w:lineRule="auto"/>
              <w:ind w:firstLine="0" w:firstLineChars="0"/>
              <w:rPr>
                <w:color w:val="auto"/>
                <w:sz w:val="21"/>
              </w:rPr>
            </w:pPr>
            <w:r>
              <w:rPr>
                <w:rFonts w:hint="eastAsia"/>
                <w:color w:val="auto"/>
                <w:sz w:val="21"/>
              </w:rPr>
              <w:t>排气筒出气口</w:t>
            </w:r>
          </w:p>
        </w:tc>
        <w:tc>
          <w:tcPr>
            <w:tcW w:w="2047" w:type="pct"/>
            <w:vAlign w:val="center"/>
          </w:tcPr>
          <w:p>
            <w:pPr>
              <w:ind w:firstLine="0" w:firstLineChars="0"/>
              <w:jc w:val="center"/>
              <w:rPr>
                <w:color w:val="auto"/>
                <w:sz w:val="21"/>
                <w:szCs w:val="21"/>
              </w:rPr>
            </w:pPr>
            <w:r>
              <w:rPr>
                <w:rFonts w:hint="eastAsia"/>
                <w:color w:val="auto"/>
                <w:sz w:val="21"/>
                <w:szCs w:val="21"/>
              </w:rPr>
              <w:t>颗粒物、SO</w:t>
            </w:r>
            <w:r>
              <w:rPr>
                <w:rFonts w:hint="eastAsia"/>
                <w:color w:val="auto"/>
                <w:sz w:val="21"/>
                <w:szCs w:val="21"/>
                <w:vertAlign w:val="subscript"/>
              </w:rPr>
              <w:t>2</w:t>
            </w:r>
            <w:r>
              <w:rPr>
                <w:rFonts w:hint="eastAsia"/>
                <w:color w:val="auto"/>
                <w:sz w:val="21"/>
                <w:szCs w:val="21"/>
              </w:rPr>
              <w:t>、苯并[a]芘、沥青烟</w:t>
            </w:r>
          </w:p>
        </w:tc>
        <w:tc>
          <w:tcPr>
            <w:tcW w:w="766" w:type="pct"/>
            <w:tcBorders>
              <w:right w:val="nil"/>
            </w:tcBorders>
            <w:vAlign w:val="center"/>
          </w:tcPr>
          <w:p>
            <w:pPr>
              <w:ind w:firstLine="0" w:firstLineChars="0"/>
              <w:jc w:val="center"/>
              <w:rPr>
                <w:color w:val="auto"/>
                <w:sz w:val="21"/>
                <w:szCs w:val="21"/>
              </w:rPr>
            </w:pPr>
            <w:r>
              <w:rPr>
                <w:color w:val="auto"/>
                <w:sz w:val="21"/>
                <w:szCs w:val="21"/>
              </w:rPr>
              <w:t>1次/</w:t>
            </w:r>
            <w:r>
              <w:rPr>
                <w:rFonts w:hint="eastAsia"/>
                <w:color w:val="auto"/>
                <w:sz w:val="21"/>
                <w:szCs w:val="21"/>
              </w:rPr>
              <w:t>1</w:t>
            </w:r>
            <w:r>
              <w:rPr>
                <w:color w:val="auto"/>
                <w:sz w:val="21"/>
                <w:szCs w:val="21"/>
              </w:rPr>
              <w:t>年</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7" w:type="pct"/>
            <w:vMerge w:val="continue"/>
            <w:vAlign w:val="center"/>
          </w:tcPr>
          <w:p>
            <w:pPr>
              <w:pStyle w:val="26"/>
              <w:ind w:firstLine="0" w:firstLineChars="0"/>
              <w:jc w:val="center"/>
              <w:rPr>
                <w:color w:val="auto"/>
                <w:sz w:val="21"/>
                <w:szCs w:val="21"/>
              </w:rPr>
            </w:pPr>
          </w:p>
        </w:tc>
        <w:tc>
          <w:tcPr>
            <w:tcW w:w="585" w:type="pct"/>
            <w:vMerge w:val="continue"/>
            <w:vAlign w:val="center"/>
          </w:tcPr>
          <w:p>
            <w:pPr>
              <w:ind w:firstLine="0" w:firstLineChars="0"/>
              <w:jc w:val="center"/>
              <w:rPr>
                <w:color w:val="auto"/>
                <w:sz w:val="21"/>
                <w:szCs w:val="21"/>
              </w:rPr>
            </w:pPr>
          </w:p>
        </w:tc>
        <w:tc>
          <w:tcPr>
            <w:tcW w:w="1202" w:type="pct"/>
            <w:vMerge w:val="continue"/>
            <w:vAlign w:val="center"/>
          </w:tcPr>
          <w:p>
            <w:pPr>
              <w:pStyle w:val="78"/>
              <w:adjustRightInd w:val="0"/>
              <w:spacing w:line="360" w:lineRule="auto"/>
              <w:ind w:firstLine="0" w:firstLineChars="0"/>
              <w:rPr>
                <w:color w:val="auto"/>
                <w:sz w:val="21"/>
              </w:rPr>
            </w:pPr>
          </w:p>
        </w:tc>
        <w:tc>
          <w:tcPr>
            <w:tcW w:w="2047" w:type="pct"/>
            <w:vAlign w:val="center"/>
          </w:tcPr>
          <w:p>
            <w:pPr>
              <w:ind w:firstLine="0" w:firstLineChars="0"/>
              <w:jc w:val="center"/>
              <w:rPr>
                <w:color w:val="auto"/>
                <w:sz w:val="21"/>
                <w:szCs w:val="21"/>
              </w:rPr>
            </w:pPr>
            <w:r>
              <w:rPr>
                <w:rFonts w:hint="eastAsia"/>
                <w:color w:val="auto"/>
                <w:sz w:val="21"/>
                <w:szCs w:val="21"/>
              </w:rPr>
              <w:t>NO</w:t>
            </w:r>
            <w:r>
              <w:rPr>
                <w:rFonts w:hint="eastAsia"/>
                <w:color w:val="auto"/>
                <w:sz w:val="21"/>
                <w:szCs w:val="21"/>
                <w:vertAlign w:val="subscript"/>
              </w:rPr>
              <w:t>x</w:t>
            </w:r>
          </w:p>
        </w:tc>
        <w:tc>
          <w:tcPr>
            <w:tcW w:w="766" w:type="pct"/>
            <w:tcBorders>
              <w:right w:val="nil"/>
            </w:tcBorders>
            <w:vAlign w:val="center"/>
          </w:tcPr>
          <w:p>
            <w:pPr>
              <w:ind w:firstLine="0" w:firstLineChars="0"/>
              <w:jc w:val="center"/>
              <w:rPr>
                <w:color w:val="auto"/>
                <w:sz w:val="21"/>
                <w:szCs w:val="21"/>
              </w:rPr>
            </w:pPr>
            <w:r>
              <w:rPr>
                <w:color w:val="auto"/>
                <w:sz w:val="21"/>
                <w:szCs w:val="21"/>
              </w:rPr>
              <w:t>1次/</w:t>
            </w:r>
            <w:r>
              <w:rPr>
                <w:rFonts w:hint="eastAsia"/>
                <w:color w:val="auto"/>
                <w:sz w:val="21"/>
                <w:szCs w:val="21"/>
              </w:rPr>
              <w:t>1月</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7" w:type="pct"/>
            <w:vMerge w:val="restart"/>
            <w:vAlign w:val="center"/>
          </w:tcPr>
          <w:p>
            <w:pPr>
              <w:pStyle w:val="26"/>
              <w:ind w:firstLine="0" w:firstLineChars="0"/>
              <w:jc w:val="center"/>
              <w:rPr>
                <w:color w:val="auto"/>
                <w:sz w:val="21"/>
                <w:szCs w:val="21"/>
              </w:rPr>
            </w:pPr>
            <w:r>
              <w:rPr>
                <w:rFonts w:hint="eastAsia"/>
                <w:color w:val="auto"/>
                <w:sz w:val="21"/>
                <w:szCs w:val="21"/>
              </w:rPr>
              <w:t>3</w:t>
            </w:r>
          </w:p>
        </w:tc>
        <w:tc>
          <w:tcPr>
            <w:tcW w:w="585" w:type="pct"/>
            <w:vMerge w:val="restart"/>
            <w:vAlign w:val="center"/>
          </w:tcPr>
          <w:p>
            <w:pPr>
              <w:ind w:firstLine="0" w:firstLineChars="0"/>
              <w:jc w:val="center"/>
              <w:rPr>
                <w:color w:val="auto"/>
                <w:sz w:val="21"/>
                <w:szCs w:val="21"/>
              </w:rPr>
            </w:pPr>
            <w:r>
              <w:rPr>
                <w:rFonts w:hint="eastAsia"/>
                <w:color w:val="auto"/>
                <w:sz w:val="21"/>
                <w:szCs w:val="21"/>
              </w:rPr>
              <w:t>厂界</w:t>
            </w:r>
          </w:p>
        </w:tc>
        <w:tc>
          <w:tcPr>
            <w:tcW w:w="1202" w:type="pct"/>
            <w:vMerge w:val="restart"/>
            <w:vAlign w:val="center"/>
          </w:tcPr>
          <w:p>
            <w:pPr>
              <w:ind w:firstLine="0" w:firstLineChars="0"/>
              <w:jc w:val="center"/>
              <w:rPr>
                <w:color w:val="auto"/>
                <w:sz w:val="21"/>
                <w:szCs w:val="21"/>
              </w:rPr>
            </w:pPr>
            <w:r>
              <w:rPr>
                <w:rFonts w:hint="eastAsia"/>
                <w:color w:val="auto"/>
                <w:sz w:val="21"/>
                <w:szCs w:val="21"/>
              </w:rPr>
              <w:t>上风向1个、下风向3个</w:t>
            </w:r>
          </w:p>
        </w:tc>
        <w:tc>
          <w:tcPr>
            <w:tcW w:w="2047" w:type="pct"/>
            <w:vAlign w:val="center"/>
          </w:tcPr>
          <w:p>
            <w:pPr>
              <w:ind w:firstLine="0" w:firstLineChars="0"/>
              <w:jc w:val="center"/>
              <w:rPr>
                <w:color w:val="auto"/>
                <w:sz w:val="21"/>
                <w:szCs w:val="21"/>
              </w:rPr>
            </w:pPr>
            <w:r>
              <w:rPr>
                <w:rFonts w:hint="eastAsia"/>
                <w:color w:val="auto"/>
                <w:sz w:val="21"/>
                <w:szCs w:val="21"/>
              </w:rPr>
              <w:t>苯并[a]芘</w:t>
            </w:r>
          </w:p>
        </w:tc>
        <w:tc>
          <w:tcPr>
            <w:tcW w:w="766" w:type="pct"/>
            <w:tcBorders>
              <w:right w:val="nil"/>
            </w:tcBorders>
            <w:vAlign w:val="center"/>
          </w:tcPr>
          <w:p>
            <w:pPr>
              <w:ind w:firstLine="0" w:firstLineChars="0"/>
              <w:jc w:val="center"/>
              <w:rPr>
                <w:color w:val="auto"/>
                <w:sz w:val="21"/>
                <w:szCs w:val="21"/>
              </w:rPr>
            </w:pPr>
            <w:r>
              <w:rPr>
                <w:color w:val="auto"/>
                <w:sz w:val="21"/>
                <w:szCs w:val="21"/>
              </w:rPr>
              <w:t>1次/</w:t>
            </w:r>
            <w:r>
              <w:rPr>
                <w:rFonts w:hint="eastAsia"/>
                <w:color w:val="auto"/>
                <w:sz w:val="21"/>
                <w:szCs w:val="21"/>
              </w:rPr>
              <w:t>半</w:t>
            </w:r>
            <w:r>
              <w:rPr>
                <w:color w:val="auto"/>
                <w:sz w:val="21"/>
                <w:szCs w:val="21"/>
              </w:rPr>
              <w:t>年</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7" w:type="pct"/>
            <w:vMerge w:val="continue"/>
            <w:tcBorders>
              <w:bottom w:val="single" w:color="000000" w:sz="12" w:space="0"/>
            </w:tcBorders>
            <w:vAlign w:val="center"/>
          </w:tcPr>
          <w:p>
            <w:pPr>
              <w:pStyle w:val="26"/>
              <w:ind w:firstLine="0" w:firstLineChars="0"/>
              <w:jc w:val="center"/>
              <w:rPr>
                <w:color w:val="auto"/>
                <w:sz w:val="21"/>
                <w:szCs w:val="21"/>
              </w:rPr>
            </w:pPr>
          </w:p>
        </w:tc>
        <w:tc>
          <w:tcPr>
            <w:tcW w:w="585" w:type="pct"/>
            <w:vMerge w:val="continue"/>
            <w:tcBorders>
              <w:bottom w:val="single" w:color="000000" w:sz="12" w:space="0"/>
            </w:tcBorders>
            <w:vAlign w:val="center"/>
          </w:tcPr>
          <w:p>
            <w:pPr>
              <w:ind w:firstLine="0" w:firstLineChars="0"/>
              <w:jc w:val="center"/>
              <w:rPr>
                <w:color w:val="auto"/>
                <w:sz w:val="21"/>
                <w:szCs w:val="21"/>
              </w:rPr>
            </w:pPr>
          </w:p>
        </w:tc>
        <w:tc>
          <w:tcPr>
            <w:tcW w:w="1202" w:type="pct"/>
            <w:vMerge w:val="continue"/>
            <w:tcBorders>
              <w:bottom w:val="single" w:color="000000" w:sz="12" w:space="0"/>
            </w:tcBorders>
            <w:vAlign w:val="center"/>
          </w:tcPr>
          <w:p>
            <w:pPr>
              <w:ind w:firstLine="0" w:firstLineChars="0"/>
              <w:jc w:val="center"/>
              <w:rPr>
                <w:color w:val="auto"/>
                <w:sz w:val="21"/>
                <w:szCs w:val="21"/>
              </w:rPr>
            </w:pPr>
          </w:p>
        </w:tc>
        <w:tc>
          <w:tcPr>
            <w:tcW w:w="2047" w:type="pct"/>
            <w:tcBorders>
              <w:bottom w:val="single" w:color="000000" w:sz="12" w:space="0"/>
            </w:tcBorders>
            <w:vAlign w:val="center"/>
          </w:tcPr>
          <w:p>
            <w:pPr>
              <w:ind w:firstLine="0" w:firstLineChars="0"/>
              <w:jc w:val="center"/>
              <w:rPr>
                <w:color w:val="auto"/>
                <w:sz w:val="21"/>
                <w:szCs w:val="21"/>
              </w:rPr>
            </w:pPr>
            <w:r>
              <w:rPr>
                <w:rFonts w:hint="eastAsia"/>
                <w:color w:val="auto"/>
                <w:sz w:val="21"/>
                <w:szCs w:val="21"/>
              </w:rPr>
              <w:t>颗粒物</w:t>
            </w:r>
          </w:p>
        </w:tc>
        <w:tc>
          <w:tcPr>
            <w:tcW w:w="766" w:type="pct"/>
            <w:tcBorders>
              <w:bottom w:val="single" w:color="000000" w:sz="12" w:space="0"/>
              <w:right w:val="nil"/>
            </w:tcBorders>
            <w:vAlign w:val="center"/>
          </w:tcPr>
          <w:p>
            <w:pPr>
              <w:ind w:firstLine="0" w:firstLineChars="0"/>
              <w:jc w:val="center"/>
              <w:rPr>
                <w:color w:val="auto"/>
                <w:sz w:val="21"/>
                <w:szCs w:val="21"/>
              </w:rPr>
            </w:pPr>
            <w:r>
              <w:rPr>
                <w:color w:val="auto"/>
                <w:sz w:val="21"/>
                <w:szCs w:val="21"/>
              </w:rPr>
              <w:t>1次/</w:t>
            </w:r>
            <w:r>
              <w:rPr>
                <w:rFonts w:hint="eastAsia"/>
                <w:color w:val="auto"/>
                <w:sz w:val="21"/>
                <w:szCs w:val="21"/>
              </w:rPr>
              <w:t>1季度</w:t>
            </w:r>
          </w:p>
        </w:tc>
      </w:tr>
    </w:tbl>
    <w:p>
      <w:pPr>
        <w:pStyle w:val="2"/>
        <w:spacing w:after="0"/>
        <w:ind w:firstLine="0" w:firstLineChars="0"/>
        <w:jc w:val="left"/>
        <w:rPr>
          <w:rFonts w:hint="eastAsia" w:ascii="宋体" w:hAnsi="宋体" w:cs="宋体"/>
          <w:color w:val="auto"/>
          <w:spacing w:val="-1"/>
          <w:sz w:val="24"/>
        </w:rPr>
      </w:pPr>
    </w:p>
    <w:p>
      <w:pPr>
        <w:spacing w:line="224" w:lineRule="auto"/>
        <w:ind w:left="124" w:firstLine="646"/>
        <w:outlineLvl w:val="1"/>
        <w:rPr>
          <w:rFonts w:hint="eastAsia" w:ascii="宋体" w:hAnsi="宋体" w:cs="宋体"/>
          <w:color w:val="auto"/>
          <w:sz w:val="31"/>
          <w:szCs w:val="31"/>
        </w:rPr>
      </w:pPr>
      <w:r>
        <w:rPr>
          <w:rFonts w:hint="eastAsia"/>
          <w:b/>
          <w:bCs/>
          <w:color w:val="auto"/>
          <w:spacing w:val="6"/>
          <w:sz w:val="31"/>
          <w:szCs w:val="31"/>
        </w:rPr>
        <w:t>7</w:t>
      </w:r>
      <w:r>
        <w:rPr>
          <w:rFonts w:eastAsia="Times New Roman"/>
          <w:b/>
          <w:bCs/>
          <w:color w:val="auto"/>
          <w:spacing w:val="6"/>
          <w:sz w:val="31"/>
          <w:szCs w:val="31"/>
        </w:rPr>
        <w:t xml:space="preserve"> </w:t>
      </w:r>
      <w:r>
        <w:rPr>
          <w:rFonts w:ascii="宋体" w:hAnsi="宋体" w:cs="宋体"/>
          <w:b/>
          <w:bCs/>
          <w:color w:val="auto"/>
          <w:spacing w:val="6"/>
          <w:sz w:val="31"/>
          <w:szCs w:val="31"/>
        </w:rPr>
        <w:t>大气环境影响专项评价结论与建议</w:t>
      </w:r>
    </w:p>
    <w:p>
      <w:pPr>
        <w:spacing w:line="222" w:lineRule="auto"/>
        <w:ind w:left="123" w:firstLine="534"/>
        <w:outlineLvl w:val="2"/>
        <w:rPr>
          <w:rFonts w:hint="eastAsia" w:ascii="宋体" w:hAnsi="宋体" w:cs="宋体"/>
          <w:color w:val="auto"/>
          <w:sz w:val="28"/>
          <w:szCs w:val="28"/>
        </w:rPr>
      </w:pPr>
      <w:r>
        <w:rPr>
          <w:rFonts w:hint="eastAsia"/>
          <w:b/>
          <w:bCs/>
          <w:color w:val="auto"/>
          <w:spacing w:val="-7"/>
          <w:sz w:val="28"/>
          <w:szCs w:val="28"/>
        </w:rPr>
        <w:t>7</w:t>
      </w:r>
      <w:r>
        <w:rPr>
          <w:rFonts w:eastAsia="Times New Roman"/>
          <w:b/>
          <w:bCs/>
          <w:color w:val="auto"/>
          <w:spacing w:val="-7"/>
          <w:sz w:val="28"/>
          <w:szCs w:val="28"/>
        </w:rPr>
        <w:t>.1</w:t>
      </w:r>
      <w:r>
        <w:rPr>
          <w:rFonts w:eastAsia="Times New Roman"/>
          <w:b/>
          <w:bCs/>
          <w:color w:val="auto"/>
          <w:spacing w:val="19"/>
          <w:sz w:val="28"/>
          <w:szCs w:val="28"/>
        </w:rPr>
        <w:t xml:space="preserve"> </w:t>
      </w:r>
      <w:r>
        <w:rPr>
          <w:rFonts w:ascii="宋体" w:hAnsi="宋体" w:cs="宋体"/>
          <w:b/>
          <w:bCs/>
          <w:color w:val="auto"/>
          <w:spacing w:val="-7"/>
          <w:sz w:val="28"/>
          <w:szCs w:val="28"/>
        </w:rPr>
        <w:t>结论</w:t>
      </w:r>
    </w:p>
    <w:p>
      <w:pPr>
        <w:ind w:firstLine="480"/>
        <w:rPr>
          <w:rFonts w:hint="eastAsia" w:ascii="宋体" w:hAnsi="宋体" w:cs="宋体"/>
          <w:color w:val="auto"/>
        </w:rPr>
      </w:pPr>
      <w:r>
        <w:rPr>
          <w:color w:val="auto"/>
        </w:rPr>
        <w:t>建设项目在大气污染防治方面采用的各项环保设施合理、可靠、有效，各项大气污染物经治理后可以达标排放，</w:t>
      </w:r>
      <w:r>
        <w:rPr>
          <w:rFonts w:hint="eastAsia"/>
          <w:color w:val="auto"/>
        </w:rPr>
        <w:t>根据《环境影响评价技术导则   大气环境》（HJ2.2-2018）附录 A 推荐模型中的估算模型 AERSCREEN 计算了各污染物的最大地面空气质量浓度占标率均小于 10%，</w:t>
      </w:r>
      <w:r>
        <w:rPr>
          <w:color w:val="auto"/>
        </w:rPr>
        <w:t>总体上对区域大气环境影响较小，</w:t>
      </w:r>
      <w:r>
        <w:rPr>
          <w:rFonts w:hint="eastAsia"/>
          <w:color w:val="auto"/>
        </w:rPr>
        <w:t>因此，</w:t>
      </w:r>
      <w:r>
        <w:rPr>
          <w:rFonts w:ascii="宋体" w:hAnsi="宋体" w:cs="宋体"/>
          <w:color w:val="auto"/>
          <w:spacing w:val="-1"/>
        </w:rPr>
        <w:t>从大气环境影响的角度来说，项目建设可行。</w:t>
      </w:r>
    </w:p>
    <w:p>
      <w:pPr>
        <w:pStyle w:val="2"/>
        <w:spacing w:after="0"/>
        <w:ind w:firstLine="0" w:firstLineChars="0"/>
        <w:jc w:val="left"/>
        <w:rPr>
          <w:rFonts w:hint="eastAsia" w:ascii="宋体" w:hAnsi="宋体" w:cs="宋体"/>
          <w:color w:val="auto"/>
          <w:spacing w:val="-1"/>
          <w:sz w:val="24"/>
        </w:rPr>
      </w:pPr>
    </w:p>
    <w:p>
      <w:pPr>
        <w:ind w:firstLine="480"/>
        <w:rPr>
          <w:color w:val="auto"/>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A00002BF" w:usb1="38CF7CFA" w:usb2="00082016" w:usb3="00000000" w:csb0="00040001" w:csb1="00000000"/>
  </w:font>
  <w:font w:name="华文行楷">
    <w:panose1 w:val="02010800040101010101"/>
    <w:charset w:val="86"/>
    <w:family w:val="auto"/>
    <w:pitch w:val="default"/>
    <w:sig w:usb0="00000001" w:usb1="080F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ˎ̥">
    <w:altName w:val="华文中宋"/>
    <w:panose1 w:val="00000000000000000000"/>
    <w:charset w:val="00"/>
    <w:family w:val="roman"/>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TimesNewRomanPSMT">
    <w:altName w:val="DejaVu Sans"/>
    <w:panose1 w:val="00000000000000000000"/>
    <w:charset w:val="86"/>
    <w:family w:val="auto"/>
    <w:pitch w:val="default"/>
    <w:sig w:usb0="00000000" w:usb1="00000000" w:usb2="00000000" w:usb3="00000000" w:csb0="00040000" w:csb1="00000000"/>
  </w:font>
  <w:font w:name="方正小标宋_GBK">
    <w:panose1 w:val="02000000000000000000"/>
    <w:charset w:val="86"/>
    <w:family w:val="script"/>
    <w:pitch w:val="default"/>
    <w:sig w:usb0="A00002BF" w:usb1="38CF7CFA" w:usb2="00082016" w:usb3="00000000" w:csb0="00040001" w:csb1="00000000"/>
  </w:font>
  <w:font w:name="文泉驿正黑">
    <w:panose1 w:val="02000603000000000000"/>
    <w:charset w:val="86"/>
    <w:family w:val="auto"/>
    <w:pitch w:val="default"/>
    <w:sig w:usb0="900002BF" w:usb1="2BDF7DFB" w:usb2="00000036" w:usb3="00000000" w:csb0="603E000D" w:csb1="D2D7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outside" w:y="1"/>
      <w:ind w:firstLine="560"/>
      <w:rPr>
        <w:rStyle w:val="35"/>
        <w:rFonts w:hint="eastAsia" w:ascii="宋体" w:hAnsi="宋体"/>
        <w:sz w:val="28"/>
        <w:szCs w:val="28"/>
      </w:rPr>
    </w:pPr>
    <w:r>
      <w:rPr>
        <w:rStyle w:val="35"/>
        <w:rFonts w:hint="eastAsia" w:ascii="宋体" w:hAnsi="宋体"/>
        <w:sz w:val="28"/>
        <w:szCs w:val="28"/>
      </w:rPr>
      <w:t>—</w:t>
    </w:r>
    <w:r>
      <w:rPr>
        <w:rFonts w:ascii="宋体" w:hAnsi="宋体"/>
        <w:sz w:val="26"/>
        <w:szCs w:val="26"/>
      </w:rPr>
      <w:fldChar w:fldCharType="begin"/>
    </w:r>
    <w:r>
      <w:rPr>
        <w:rStyle w:val="35"/>
        <w:rFonts w:ascii="宋体" w:hAnsi="宋体"/>
        <w:sz w:val="26"/>
        <w:szCs w:val="26"/>
      </w:rPr>
      <w:instrText xml:space="preserve">PAGE  </w:instrText>
    </w:r>
    <w:r>
      <w:rPr>
        <w:rFonts w:ascii="宋体" w:hAnsi="宋体"/>
        <w:sz w:val="26"/>
        <w:szCs w:val="26"/>
      </w:rPr>
      <w:fldChar w:fldCharType="separate"/>
    </w:r>
    <w:r>
      <w:rPr>
        <w:rStyle w:val="35"/>
        <w:rFonts w:ascii="宋体" w:hAnsi="宋体"/>
        <w:sz w:val="26"/>
        <w:szCs w:val="26"/>
      </w:rPr>
      <w:t>9</w:t>
    </w:r>
    <w:r>
      <w:rPr>
        <w:rFonts w:ascii="宋体" w:hAnsi="宋体"/>
        <w:sz w:val="26"/>
        <w:szCs w:val="26"/>
      </w:rPr>
      <w:fldChar w:fldCharType="end"/>
    </w:r>
    <w:r>
      <w:rPr>
        <w:rStyle w:val="35"/>
        <w:rFonts w:hint="eastAsia" w:ascii="宋体" w:hAnsi="宋体"/>
        <w:sz w:val="28"/>
        <w:szCs w:val="28"/>
      </w:rPr>
      <w:t>—</w:t>
    </w:r>
  </w:p>
  <w:p>
    <w:pPr>
      <w:pStyle w:val="24"/>
      <w:ind w:right="360" w:firstLine="0" w:firstLineChars="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outside" w:y="1"/>
      <w:ind w:firstLine="560"/>
      <w:rPr>
        <w:rStyle w:val="35"/>
        <w:rFonts w:hint="eastAsia" w:ascii="宋体" w:hAnsi="宋体"/>
        <w:sz w:val="28"/>
        <w:szCs w:val="28"/>
      </w:rPr>
    </w:pPr>
    <w:r>
      <w:rPr>
        <w:rStyle w:val="35"/>
        <w:rFonts w:hint="eastAsia" w:ascii="宋体" w:hAnsi="宋体"/>
        <w:sz w:val="28"/>
        <w:szCs w:val="28"/>
      </w:rPr>
      <w:t>—</w:t>
    </w:r>
    <w:r>
      <w:rPr>
        <w:rFonts w:ascii="宋体" w:hAnsi="宋体"/>
        <w:sz w:val="26"/>
        <w:szCs w:val="26"/>
      </w:rPr>
      <w:fldChar w:fldCharType="begin"/>
    </w:r>
    <w:r>
      <w:rPr>
        <w:rStyle w:val="35"/>
        <w:rFonts w:ascii="宋体" w:hAnsi="宋体"/>
        <w:sz w:val="26"/>
        <w:szCs w:val="26"/>
      </w:rPr>
      <w:instrText xml:space="preserve">PAGE  </w:instrText>
    </w:r>
    <w:r>
      <w:rPr>
        <w:rFonts w:ascii="宋体" w:hAnsi="宋体"/>
        <w:sz w:val="26"/>
        <w:szCs w:val="26"/>
      </w:rPr>
      <w:fldChar w:fldCharType="separate"/>
    </w:r>
    <w:r>
      <w:rPr>
        <w:rStyle w:val="35"/>
        <w:rFonts w:ascii="宋体" w:hAnsi="宋体"/>
        <w:sz w:val="26"/>
        <w:szCs w:val="26"/>
      </w:rPr>
      <w:t>11</w:t>
    </w:r>
    <w:r>
      <w:rPr>
        <w:rFonts w:ascii="宋体" w:hAnsi="宋体"/>
        <w:sz w:val="26"/>
        <w:szCs w:val="26"/>
      </w:rPr>
      <w:fldChar w:fldCharType="end"/>
    </w:r>
    <w:r>
      <w:rPr>
        <w:rStyle w:val="35"/>
        <w:rFonts w:hint="eastAsia" w:ascii="宋体" w:hAnsi="宋体"/>
        <w:sz w:val="28"/>
        <w:szCs w:val="28"/>
      </w:rPr>
      <w:t>—</w:t>
    </w:r>
  </w:p>
  <w:p>
    <w:pPr>
      <w:pStyle w:val="24"/>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4"/>
                            <w:ind w:firstLine="560"/>
                            <w:rPr>
                              <w:rStyle w:val="35"/>
                              <w:rFonts w:hint="eastAsia" w:ascii="宋体" w:hAnsi="宋体"/>
                              <w:sz w:val="28"/>
                              <w:szCs w:val="28"/>
                            </w:rPr>
                          </w:pPr>
                          <w:r>
                            <w:rPr>
                              <w:rStyle w:val="35"/>
                              <w:rFonts w:hint="eastAsia" w:ascii="宋体" w:hAnsi="宋体"/>
                              <w:sz w:val="28"/>
                              <w:szCs w:val="28"/>
                            </w:rPr>
                            <w:t>—</w:t>
                          </w:r>
                          <w:r>
                            <w:rPr>
                              <w:rStyle w:val="35"/>
                              <w:rFonts w:hint="eastAsia" w:ascii="宋体" w:hAnsi="宋体"/>
                              <w:sz w:val="20"/>
                            </w:rPr>
                            <w:t xml:space="preserve">  </w:t>
                          </w:r>
                          <w:r>
                            <w:rPr>
                              <w:rFonts w:ascii="宋体" w:hAnsi="宋体"/>
                              <w:sz w:val="26"/>
                              <w:szCs w:val="26"/>
                            </w:rPr>
                            <w:fldChar w:fldCharType="begin"/>
                          </w:r>
                          <w:r>
                            <w:rPr>
                              <w:rStyle w:val="35"/>
                              <w:rFonts w:ascii="宋体" w:hAnsi="宋体"/>
                              <w:sz w:val="26"/>
                              <w:szCs w:val="26"/>
                            </w:rPr>
                            <w:instrText xml:space="preserve">PAGE  </w:instrText>
                          </w:r>
                          <w:r>
                            <w:rPr>
                              <w:rFonts w:ascii="宋体" w:hAnsi="宋体"/>
                              <w:sz w:val="26"/>
                              <w:szCs w:val="26"/>
                            </w:rPr>
                            <w:fldChar w:fldCharType="separate"/>
                          </w:r>
                          <w:r>
                            <w:rPr>
                              <w:rStyle w:val="35"/>
                              <w:rFonts w:ascii="宋体" w:hAnsi="宋体"/>
                              <w:sz w:val="26"/>
                              <w:szCs w:val="26"/>
                            </w:rPr>
                            <w:t>45</w:t>
                          </w:r>
                          <w:r>
                            <w:rPr>
                              <w:rFonts w:ascii="宋体" w:hAnsi="宋体"/>
                              <w:sz w:val="26"/>
                              <w:szCs w:val="26"/>
                            </w:rPr>
                            <w:fldChar w:fldCharType="end"/>
                          </w:r>
                          <w:r>
                            <w:rPr>
                              <w:rStyle w:val="35"/>
                              <w:rFonts w:hint="eastAsia" w:ascii="宋体" w:hAnsi="宋体"/>
                              <w:sz w:val="20"/>
                            </w:rPr>
                            <w:t xml:space="preserve">  </w:t>
                          </w:r>
                          <w:r>
                            <w:rPr>
                              <w:rStyle w:val="35"/>
                              <w:rFonts w:hint="eastAsia" w:ascii="宋体" w:hAnsi="宋体"/>
                              <w:sz w:val="28"/>
                              <w:szCs w:val="28"/>
                            </w:rPr>
                            <w:t>—</w:t>
                          </w:r>
                        </w:p>
                      </w:txbxContent>
                    </wps:txbx>
                    <wps:bodyPr wrap="none" lIns="0" tIns="0" rIns="0" bIns="0">
                      <a:spAutoFit/>
                    </wps:bodyPr>
                  </wps:wsp>
                </a:graphicData>
              </a:graphic>
            </wp:anchor>
          </w:drawing>
        </mc:Choice>
        <mc:Fallback>
          <w:pict>
            <v:shape id="文本框 4"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BYAAABkcnMvUEsBAhQAFAAAAAgAh07iQM6pebnPAAAABQEAAA8AAAAAAAAAAQAgAAAAOAAA&#10;AGRycy9kb3ducmV2LnhtbFBLAQIUABQAAAAIAIdO4kDIMlTGwgEAAI4DAAAOAAAAAAAAAAEAIAAA&#10;ADQBAABkcnMvZTJvRG9jLnhtbFBLBQYAAAAABgAGAFkBAABoBQAAAAA=&#10;">
              <v:fill on="f" focussize="0,0"/>
              <v:stroke on="f"/>
              <v:imagedata o:title=""/>
              <o:lock v:ext="edit" aspectratio="f"/>
              <v:textbox inset="0mm,0mm,0mm,0mm" style="mso-fit-shape-to-text:t;">
                <w:txbxContent>
                  <w:p>
                    <w:pPr>
                      <w:pStyle w:val="24"/>
                      <w:ind w:firstLine="560"/>
                      <w:rPr>
                        <w:rStyle w:val="35"/>
                        <w:rFonts w:hint="eastAsia" w:ascii="宋体" w:hAnsi="宋体"/>
                        <w:sz w:val="28"/>
                        <w:szCs w:val="28"/>
                      </w:rPr>
                    </w:pPr>
                    <w:r>
                      <w:rPr>
                        <w:rStyle w:val="35"/>
                        <w:rFonts w:hint="eastAsia" w:ascii="宋体" w:hAnsi="宋体"/>
                        <w:sz w:val="28"/>
                        <w:szCs w:val="28"/>
                      </w:rPr>
                      <w:t>—</w:t>
                    </w:r>
                    <w:r>
                      <w:rPr>
                        <w:rStyle w:val="35"/>
                        <w:rFonts w:hint="eastAsia" w:ascii="宋体" w:hAnsi="宋体"/>
                        <w:sz w:val="20"/>
                      </w:rPr>
                      <w:t xml:space="preserve">  </w:t>
                    </w:r>
                    <w:r>
                      <w:rPr>
                        <w:rFonts w:ascii="宋体" w:hAnsi="宋体"/>
                        <w:sz w:val="26"/>
                        <w:szCs w:val="26"/>
                      </w:rPr>
                      <w:fldChar w:fldCharType="begin"/>
                    </w:r>
                    <w:r>
                      <w:rPr>
                        <w:rStyle w:val="35"/>
                        <w:rFonts w:ascii="宋体" w:hAnsi="宋体"/>
                        <w:sz w:val="26"/>
                        <w:szCs w:val="26"/>
                      </w:rPr>
                      <w:instrText xml:space="preserve">PAGE  </w:instrText>
                    </w:r>
                    <w:r>
                      <w:rPr>
                        <w:rFonts w:ascii="宋体" w:hAnsi="宋体"/>
                        <w:sz w:val="26"/>
                        <w:szCs w:val="26"/>
                      </w:rPr>
                      <w:fldChar w:fldCharType="separate"/>
                    </w:r>
                    <w:r>
                      <w:rPr>
                        <w:rStyle w:val="35"/>
                        <w:rFonts w:ascii="宋体" w:hAnsi="宋体"/>
                        <w:sz w:val="26"/>
                        <w:szCs w:val="26"/>
                      </w:rPr>
                      <w:t>45</w:t>
                    </w:r>
                    <w:r>
                      <w:rPr>
                        <w:rFonts w:ascii="宋体" w:hAnsi="宋体"/>
                        <w:sz w:val="26"/>
                        <w:szCs w:val="26"/>
                      </w:rPr>
                      <w:fldChar w:fldCharType="end"/>
                    </w:r>
                    <w:r>
                      <w:rPr>
                        <w:rStyle w:val="35"/>
                        <w:rFonts w:hint="eastAsia" w:ascii="宋体" w:hAnsi="宋体"/>
                        <w:sz w:val="20"/>
                      </w:rPr>
                      <w:t xml:space="preserve">  </w:t>
                    </w:r>
                    <w:r>
                      <w:rPr>
                        <w:rStyle w:val="35"/>
                        <w:rFonts w:hint="eastAsia" w:ascii="宋体" w:hAnsi="宋体"/>
                        <w:sz w:val="28"/>
                        <w:szCs w:val="28"/>
                      </w:rPr>
                      <w:t>—</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ind w:firstLine="40"/>
      <w:rPr>
        <w:rFonts w:ascii="Arial"/>
        <w:sz w:val="2"/>
      </w:rPr>
    </w:pPr>
    <w:r>
      <w:rPr>
        <w:sz w:val="2"/>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ind w:firstLine="360"/>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Ay4NdZLQIAAFcEAAAOAAAAAAAAAAEAIAAAADUBAABk&#10;cnMvZTJvRG9jLnhtbFBLBQYAAAAABgAGAFkBAADUBQAAAAA=&#10;">
              <v:fill on="f" focussize="0,0"/>
              <v:stroke on="f" weight="0.5pt"/>
              <v:imagedata o:title=""/>
              <o:lock v:ext="edit" aspectratio="f"/>
              <v:textbox inset="0mm,0mm,0mm,0mm" style="mso-fit-shape-to-text:t;">
                <w:txbxContent>
                  <w:p>
                    <w:pPr>
                      <w:pStyle w:val="24"/>
                      <w:ind w:firstLine="360"/>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0" w:lineRule="auto"/>
      <w:ind w:firstLine="500"/>
      <w:jc w:val="right"/>
      <w:rPr>
        <w:rFonts w:hint="eastAsia" w:ascii="宋体" w:hAnsi="宋体" w:cs="宋体"/>
        <w:sz w:val="25"/>
        <w:szCs w:val="25"/>
      </w:rPr>
    </w:pPr>
    <w:r>
      <w:rPr>
        <w:sz w:val="25"/>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ind w:firstLine="36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ClmJqBLQIAAFcEAAAOAAAAAAAAAAEAIAAAADUBAABk&#10;cnMvZTJvRG9jLnhtbFBLBQYAAAAABgAGAFkBAADUBQAAAAA=&#10;">
              <v:fill on="f" focussize="0,0"/>
              <v:stroke on="f" weight="0.5pt"/>
              <v:imagedata o:title=""/>
              <o:lock v:ext="edit" aspectratio="f"/>
              <v:textbox inset="0mm,0mm,0mm,0mm" style="mso-fit-shape-to-text:t;">
                <w:txbxContent>
                  <w:p>
                    <w:pPr>
                      <w:pStyle w:val="24"/>
                      <w:ind w:firstLine="36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ind w:firstLine="360"/>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N1cnBLQIAAFcEAAAOAAAAZHJz&#10;L2Uyb0RvYy54bWytVM2O0zAQviPxDpbvNGnRL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AN1cnBLQIAAFcEAAAOAAAAAAAAAAEAIAAAADUBAABk&#10;cnMvZTJvRG9jLnhtbFBLBQYAAAAABgAGAFkBAADUBQAAAAA=&#10;">
              <v:fill on="f" focussize="0,0"/>
              <v:stroke on="f" weight="0.5pt"/>
              <v:imagedata o:title=""/>
              <o:lock v:ext="edit" aspectratio="f"/>
              <v:textbox inset="0mm,0mm,0mm,0mm" style="mso-fit-shape-to-text:t;">
                <w:txbxContent>
                  <w:p>
                    <w:pPr>
                      <w:pStyle w:val="24"/>
                      <w:ind w:firstLine="360"/>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57F36F"/>
    <w:multiLevelType w:val="singleLevel"/>
    <w:tmpl w:val="CE57F36F"/>
    <w:lvl w:ilvl="0" w:tentative="0">
      <w:start w:val="1"/>
      <w:numFmt w:val="decimal"/>
      <w:suff w:val="nothing"/>
      <w:lvlText w:val="（%1）"/>
      <w:lvlJc w:val="left"/>
    </w:lvl>
  </w:abstractNum>
  <w:abstractNum w:abstractNumId="1">
    <w:nsid w:val="E1F9A250"/>
    <w:multiLevelType w:val="singleLevel"/>
    <w:tmpl w:val="E1F9A250"/>
    <w:lvl w:ilvl="0" w:tentative="0">
      <w:start w:val="6"/>
      <w:numFmt w:val="decimal"/>
      <w:lvlText w:val="(%1)"/>
      <w:lvlJc w:val="left"/>
      <w:pPr>
        <w:tabs>
          <w:tab w:val="left" w:pos="312"/>
        </w:tabs>
      </w:pPr>
    </w:lvl>
  </w:abstractNum>
  <w:abstractNum w:abstractNumId="2">
    <w:nsid w:val="14720E9E"/>
    <w:multiLevelType w:val="multilevel"/>
    <w:tmpl w:val="14720E9E"/>
    <w:lvl w:ilvl="0" w:tentative="0">
      <w:start w:val="1"/>
      <w:numFmt w:val="decimal"/>
      <w:lvlText w:val="表2-%1"/>
      <w:lvlJc w:val="center"/>
      <w:pPr>
        <w:tabs>
          <w:tab w:val="left" w:pos="0"/>
        </w:tabs>
        <w:ind w:left="2684" w:hanging="132"/>
      </w:pPr>
      <w:rPr>
        <w:rFonts w:hint="eastAsia" w:ascii="宋体" w:hAnsi="宋体" w:eastAsia="宋体"/>
        <w:b/>
        <w:sz w:val="24"/>
        <w:szCs w:val="24"/>
      </w:rPr>
    </w:lvl>
    <w:lvl w:ilvl="1" w:tentative="0">
      <w:start w:val="1"/>
      <w:numFmt w:val="lowerLetter"/>
      <w:lvlText w:val="%2)"/>
      <w:lvlJc w:val="left"/>
      <w:pPr>
        <w:tabs>
          <w:tab w:val="left" w:pos="0"/>
        </w:tabs>
        <w:ind w:left="840" w:hanging="420"/>
      </w:pPr>
      <w:rPr>
        <w:rFonts w:hint="eastAsia"/>
      </w:rPr>
    </w:lvl>
    <w:lvl w:ilvl="2" w:tentative="0">
      <w:start w:val="1"/>
      <w:numFmt w:val="lowerRoman"/>
      <w:lvlText w:val="%3."/>
      <w:lvlJc w:val="right"/>
      <w:pPr>
        <w:tabs>
          <w:tab w:val="left" w:pos="0"/>
        </w:tabs>
        <w:ind w:left="1260" w:hanging="420"/>
      </w:pPr>
      <w:rPr>
        <w:rFonts w:hint="eastAsia"/>
      </w:rPr>
    </w:lvl>
    <w:lvl w:ilvl="3" w:tentative="0">
      <w:start w:val="1"/>
      <w:numFmt w:val="decimal"/>
      <w:lvlText w:val="%4."/>
      <w:lvlJc w:val="left"/>
      <w:pPr>
        <w:tabs>
          <w:tab w:val="left" w:pos="0"/>
        </w:tabs>
        <w:ind w:left="1680" w:hanging="420"/>
      </w:pPr>
      <w:rPr>
        <w:rFonts w:hint="eastAsia"/>
      </w:rPr>
    </w:lvl>
    <w:lvl w:ilvl="4" w:tentative="0">
      <w:start w:val="1"/>
      <w:numFmt w:val="lowerLetter"/>
      <w:lvlText w:val="%5)"/>
      <w:lvlJc w:val="left"/>
      <w:pPr>
        <w:tabs>
          <w:tab w:val="left" w:pos="0"/>
        </w:tabs>
        <w:ind w:left="2100" w:hanging="420"/>
      </w:pPr>
      <w:rPr>
        <w:rFonts w:hint="eastAsia"/>
      </w:rPr>
    </w:lvl>
    <w:lvl w:ilvl="5" w:tentative="0">
      <w:start w:val="1"/>
      <w:numFmt w:val="lowerRoman"/>
      <w:lvlText w:val="%6."/>
      <w:lvlJc w:val="right"/>
      <w:pPr>
        <w:tabs>
          <w:tab w:val="left" w:pos="0"/>
        </w:tabs>
        <w:ind w:left="2520" w:hanging="420"/>
      </w:pPr>
      <w:rPr>
        <w:rFonts w:hint="eastAsia"/>
      </w:rPr>
    </w:lvl>
    <w:lvl w:ilvl="6" w:tentative="0">
      <w:start w:val="1"/>
      <w:numFmt w:val="decimal"/>
      <w:lvlText w:val="%7."/>
      <w:lvlJc w:val="left"/>
      <w:pPr>
        <w:tabs>
          <w:tab w:val="left" w:pos="0"/>
        </w:tabs>
        <w:ind w:left="2940" w:hanging="420"/>
      </w:pPr>
      <w:rPr>
        <w:rFonts w:hint="eastAsia"/>
      </w:rPr>
    </w:lvl>
    <w:lvl w:ilvl="7" w:tentative="0">
      <w:start w:val="1"/>
      <w:numFmt w:val="lowerLetter"/>
      <w:lvlText w:val="%8)"/>
      <w:lvlJc w:val="left"/>
      <w:pPr>
        <w:tabs>
          <w:tab w:val="left" w:pos="0"/>
        </w:tabs>
        <w:ind w:left="3360" w:hanging="420"/>
      </w:pPr>
      <w:rPr>
        <w:rFonts w:hint="eastAsia"/>
      </w:rPr>
    </w:lvl>
    <w:lvl w:ilvl="8" w:tentative="0">
      <w:start w:val="1"/>
      <w:numFmt w:val="lowerRoman"/>
      <w:lvlText w:val="%9."/>
      <w:lvlJc w:val="right"/>
      <w:pPr>
        <w:tabs>
          <w:tab w:val="left" w:pos="0"/>
        </w:tabs>
        <w:ind w:left="3780" w:hanging="420"/>
      </w:pPr>
      <w:rPr>
        <w:rFonts w:hint="eastAsia"/>
      </w:rPr>
    </w:lvl>
  </w:abstractNum>
  <w:abstractNum w:abstractNumId="3">
    <w:nsid w:val="16E20CCC"/>
    <w:multiLevelType w:val="singleLevel"/>
    <w:tmpl w:val="16E20CCC"/>
    <w:lvl w:ilvl="0" w:tentative="0">
      <w:start w:val="1"/>
      <w:numFmt w:val="bullet"/>
      <w:pStyle w:val="15"/>
      <w:lvlText w:val=""/>
      <w:lvlJc w:val="left"/>
      <w:pPr>
        <w:tabs>
          <w:tab w:val="left" w:pos="780"/>
        </w:tabs>
        <w:ind w:left="780" w:hanging="360"/>
      </w:pPr>
      <w:rPr>
        <w:rFonts w:hint="default" w:ascii="Wingdings" w:hAnsi="Wingdings"/>
      </w:rPr>
    </w:lvl>
  </w:abstractNum>
  <w:abstractNum w:abstractNumId="4">
    <w:nsid w:val="1A4BEB7E"/>
    <w:multiLevelType w:val="singleLevel"/>
    <w:tmpl w:val="1A4BEB7E"/>
    <w:lvl w:ilvl="0" w:tentative="0">
      <w:start w:val="1"/>
      <w:numFmt w:val="decimal"/>
      <w:lvlText w:val="%1."/>
      <w:lvlJc w:val="left"/>
      <w:pPr>
        <w:tabs>
          <w:tab w:val="left" w:pos="312"/>
        </w:tabs>
      </w:pPr>
    </w:lvl>
  </w:abstractNum>
  <w:abstractNum w:abstractNumId="5">
    <w:nsid w:val="2BDE210C"/>
    <w:multiLevelType w:val="multilevel"/>
    <w:tmpl w:val="2BDE210C"/>
    <w:lvl w:ilvl="0" w:tentative="0">
      <w:start w:val="1"/>
      <w:numFmt w:val="chineseCountingThousand"/>
      <w:suff w:val="nothing"/>
      <w:lvlText w:val="%1、"/>
      <w:lvlJc w:val="left"/>
      <w:pPr>
        <w:ind w:left="0" w:firstLine="0"/>
      </w:pPr>
      <w:rPr>
        <w:rFonts w:hint="eastAsia"/>
      </w:rPr>
    </w:lvl>
    <w:lvl w:ilvl="1" w:tentative="0">
      <w:start w:val="1"/>
      <w:numFmt w:val="none"/>
      <w:suff w:val="nothing"/>
      <w:lvlText w:val="%2"/>
      <w:lvlJc w:val="left"/>
      <w:pPr>
        <w:ind w:left="0" w:firstLine="0"/>
      </w:pPr>
      <w:rPr>
        <w:rFonts w:hint="eastAsia"/>
      </w:rPr>
    </w:lvl>
    <w:lvl w:ilvl="2" w:tentative="0">
      <w:start w:val="1"/>
      <w:numFmt w:val="chineseCountingThousand"/>
      <w:suff w:val="nothing"/>
      <w:lvlText w:val="（%3）"/>
      <w:lvlJc w:val="left"/>
      <w:pPr>
        <w:ind w:left="0" w:firstLine="0"/>
      </w:pPr>
      <w:rPr>
        <w:rFonts w:hint="eastAsia"/>
      </w:rPr>
    </w:lvl>
    <w:lvl w:ilvl="3" w:tentative="0">
      <w:start w:val="1"/>
      <w:numFmt w:val="decimal"/>
      <w:suff w:val="nothing"/>
      <w:lvlText w:val="%4."/>
      <w:lvlJc w:val="left"/>
      <w:pPr>
        <w:ind w:left="0" w:firstLine="0"/>
      </w:pPr>
      <w:rPr>
        <w:rFonts w:hint="eastAsia"/>
      </w:rPr>
    </w:lvl>
    <w:lvl w:ilvl="4" w:tentative="0">
      <w:start w:val="1"/>
      <w:numFmt w:val="decimal"/>
      <w:suff w:val="nothing"/>
      <w:lvlText w:val="（%5）"/>
      <w:lvlJc w:val="left"/>
      <w:pPr>
        <w:ind w:left="0" w:firstLine="0"/>
      </w:pPr>
      <w:rPr>
        <w:rFonts w:hint="eastAsia"/>
      </w:rPr>
    </w:lvl>
    <w:lvl w:ilvl="5" w:tentative="0">
      <w:start w:val="1"/>
      <w:numFmt w:val="decimalEnclosedCircle"/>
      <w:lvlRestart w:val="0"/>
      <w:suff w:val="space"/>
      <w:lvlText w:val="%6"/>
      <w:lvlJc w:val="left"/>
      <w:pPr>
        <w:ind w:left="0" w:firstLine="0"/>
      </w:pPr>
      <w:rPr>
        <w:rFonts w:hint="eastAsia"/>
      </w:rPr>
    </w:lvl>
    <w:lvl w:ilvl="6" w:tentative="0">
      <w:start w:val="1"/>
      <w:numFmt w:val="decimal"/>
      <w:lvlRestart w:val="1"/>
      <w:isLgl/>
      <w:suff w:val="space"/>
      <w:lvlText w:val="表%1-%7"/>
      <w:lvlJc w:val="center"/>
      <w:pPr>
        <w:ind w:left="0" w:firstLine="0"/>
      </w:pPr>
      <w:rPr>
        <w:rFonts w:hint="eastAsia"/>
        <w:sz w:val="21"/>
        <w:szCs w:val="21"/>
      </w:rPr>
    </w:lvl>
    <w:lvl w:ilvl="7" w:tentative="0">
      <w:start w:val="1"/>
      <w:numFmt w:val="decimal"/>
      <w:lvlRestart w:val="1"/>
      <w:pStyle w:val="93"/>
      <w:isLgl/>
      <w:suff w:val="space"/>
      <w:lvlText w:val="图%1-%8"/>
      <w:lvlJc w:val="center"/>
      <w:pPr>
        <w:ind w:left="0" w:firstLine="0"/>
      </w:pPr>
      <w:rPr>
        <w:rFonts w:hint="eastAsia"/>
      </w:rPr>
    </w:lvl>
    <w:lvl w:ilvl="8" w:tentative="0">
      <w:start w:val="1"/>
      <w:numFmt w:val="none"/>
      <w:lvlRestart w:val="0"/>
      <w:suff w:val="nothing"/>
      <w:lvlText w:val=""/>
      <w:lvlJc w:val="left"/>
      <w:pPr>
        <w:ind w:left="0" w:firstLine="0"/>
      </w:pPr>
      <w:rPr>
        <w:rFonts w:hint="eastAsia"/>
      </w:rPr>
    </w:lvl>
  </w:abstractNum>
  <w:abstractNum w:abstractNumId="6">
    <w:nsid w:val="6B7C0A70"/>
    <w:multiLevelType w:val="singleLevel"/>
    <w:tmpl w:val="6B7C0A70"/>
    <w:lvl w:ilvl="0" w:tentative="0">
      <w:start w:val="1"/>
      <w:numFmt w:val="decimal"/>
      <w:suff w:val="nothing"/>
      <w:lvlText w:val="（%1）"/>
      <w:lvlJc w:val="left"/>
    </w:lvl>
  </w:abstractNum>
  <w:abstractNum w:abstractNumId="7">
    <w:nsid w:val="70717971"/>
    <w:multiLevelType w:val="multilevel"/>
    <w:tmpl w:val="70717971"/>
    <w:lvl w:ilvl="0" w:tentative="0">
      <w:start w:val="1"/>
      <w:numFmt w:val="decimal"/>
      <w:isLgl/>
      <w:lvlText w:val="表 3-%1 "/>
      <w:lvlJc w:val="center"/>
      <w:pPr>
        <w:tabs>
          <w:tab w:val="left" w:pos="0"/>
        </w:tabs>
        <w:ind w:left="900" w:hanging="420"/>
      </w:pPr>
      <w:rPr>
        <w:rFonts w:hint="eastAsia"/>
        <w:b/>
        <w:sz w:val="24"/>
        <w:szCs w:val="24"/>
        <w:vertAlign w:val="baseline"/>
      </w:rPr>
    </w:lvl>
    <w:lvl w:ilvl="1" w:tentative="0">
      <w:start w:val="1"/>
      <w:numFmt w:val="none"/>
      <w:lvlText w:val="%2表2-1"/>
      <w:lvlJc w:val="left"/>
      <w:pPr>
        <w:tabs>
          <w:tab w:val="left" w:pos="0"/>
        </w:tabs>
        <w:ind w:left="1320" w:hanging="420"/>
      </w:pPr>
      <w:rPr>
        <w:rFonts w:hint="eastAsia"/>
      </w:rPr>
    </w:lvl>
    <w:lvl w:ilvl="2" w:tentative="0">
      <w:start w:val="1"/>
      <w:numFmt w:val="lowerRoman"/>
      <w:lvlText w:val="%3."/>
      <w:lvlJc w:val="right"/>
      <w:pPr>
        <w:tabs>
          <w:tab w:val="left" w:pos="0"/>
        </w:tabs>
        <w:ind w:left="1740" w:hanging="420"/>
      </w:pPr>
      <w:rPr>
        <w:rFonts w:hint="eastAsia"/>
      </w:rPr>
    </w:lvl>
    <w:lvl w:ilvl="3" w:tentative="0">
      <w:start w:val="1"/>
      <w:numFmt w:val="decimal"/>
      <w:lvlText w:val="%4."/>
      <w:lvlJc w:val="left"/>
      <w:pPr>
        <w:tabs>
          <w:tab w:val="left" w:pos="0"/>
        </w:tabs>
        <w:ind w:left="2160" w:hanging="420"/>
      </w:pPr>
      <w:rPr>
        <w:rFonts w:hint="eastAsia"/>
      </w:rPr>
    </w:lvl>
    <w:lvl w:ilvl="4" w:tentative="0">
      <w:start w:val="1"/>
      <w:numFmt w:val="lowerLetter"/>
      <w:lvlText w:val="%5)"/>
      <w:lvlJc w:val="left"/>
      <w:pPr>
        <w:tabs>
          <w:tab w:val="left" w:pos="0"/>
        </w:tabs>
        <w:ind w:left="2580" w:hanging="420"/>
      </w:pPr>
      <w:rPr>
        <w:rFonts w:hint="eastAsia"/>
      </w:rPr>
    </w:lvl>
    <w:lvl w:ilvl="5" w:tentative="0">
      <w:start w:val="1"/>
      <w:numFmt w:val="lowerRoman"/>
      <w:lvlText w:val="%6."/>
      <w:lvlJc w:val="right"/>
      <w:pPr>
        <w:tabs>
          <w:tab w:val="left" w:pos="0"/>
        </w:tabs>
        <w:ind w:left="3000" w:hanging="420"/>
      </w:pPr>
      <w:rPr>
        <w:rFonts w:hint="eastAsia"/>
      </w:rPr>
    </w:lvl>
    <w:lvl w:ilvl="6" w:tentative="0">
      <w:start w:val="1"/>
      <w:numFmt w:val="decimal"/>
      <w:lvlText w:val="%7."/>
      <w:lvlJc w:val="left"/>
      <w:pPr>
        <w:tabs>
          <w:tab w:val="left" w:pos="0"/>
        </w:tabs>
        <w:ind w:left="3420" w:hanging="420"/>
      </w:pPr>
      <w:rPr>
        <w:rFonts w:hint="eastAsia"/>
      </w:rPr>
    </w:lvl>
    <w:lvl w:ilvl="7" w:tentative="0">
      <w:start w:val="1"/>
      <w:numFmt w:val="lowerLetter"/>
      <w:lvlText w:val="%8)"/>
      <w:lvlJc w:val="left"/>
      <w:pPr>
        <w:tabs>
          <w:tab w:val="left" w:pos="0"/>
        </w:tabs>
        <w:ind w:left="3840" w:hanging="420"/>
      </w:pPr>
      <w:rPr>
        <w:rFonts w:hint="eastAsia"/>
      </w:rPr>
    </w:lvl>
    <w:lvl w:ilvl="8" w:tentative="0">
      <w:start w:val="1"/>
      <w:numFmt w:val="lowerRoman"/>
      <w:lvlText w:val="%9."/>
      <w:lvlJc w:val="right"/>
      <w:pPr>
        <w:tabs>
          <w:tab w:val="left" w:pos="0"/>
        </w:tabs>
        <w:ind w:left="4260" w:hanging="420"/>
      </w:pPr>
      <w:rPr>
        <w:rFonts w:hint="eastAsia"/>
      </w:rPr>
    </w:lvl>
  </w:abstractNum>
  <w:abstractNum w:abstractNumId="8">
    <w:nsid w:val="7386AD9C"/>
    <w:multiLevelType w:val="singleLevel"/>
    <w:tmpl w:val="7386AD9C"/>
    <w:lvl w:ilvl="0" w:tentative="0">
      <w:start w:val="6"/>
      <w:numFmt w:val="decimal"/>
      <w:lvlText w:val="%1."/>
      <w:lvlJc w:val="left"/>
      <w:pPr>
        <w:tabs>
          <w:tab w:val="left" w:pos="312"/>
        </w:tabs>
      </w:pPr>
    </w:lvl>
  </w:abstractNum>
  <w:abstractNum w:abstractNumId="9">
    <w:nsid w:val="767E2294"/>
    <w:multiLevelType w:val="singleLevel"/>
    <w:tmpl w:val="767E2294"/>
    <w:lvl w:ilvl="0" w:tentative="0">
      <w:start w:val="1"/>
      <w:numFmt w:val="decimal"/>
      <w:suff w:val="nothing"/>
      <w:lvlText w:val="（%1）"/>
      <w:lvlJc w:val="left"/>
    </w:lvl>
  </w:abstractNum>
  <w:num w:numId="1">
    <w:abstractNumId w:val="3"/>
  </w:num>
  <w:num w:numId="2">
    <w:abstractNumId w:val="5"/>
  </w:num>
  <w:num w:numId="3">
    <w:abstractNumId w:val="8"/>
  </w:num>
  <w:num w:numId="4">
    <w:abstractNumId w:val="1"/>
  </w:num>
  <w:num w:numId="5">
    <w:abstractNumId w:val="2"/>
  </w:num>
  <w:num w:numId="6">
    <w:abstractNumId w:val="4"/>
  </w:num>
  <w:num w:numId="7">
    <w:abstractNumId w:val="7"/>
  </w:num>
  <w:num w:numId="8">
    <w:abstractNumId w:val="6"/>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djMjZmZGQwNjc0MjE0ZDAwNDU3YzBkOGQ2NGQ2MzIifQ=="/>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0F44E7"/>
    <w:rsid w:val="00124117"/>
    <w:rsid w:val="00131F42"/>
    <w:rsid w:val="001357F1"/>
    <w:rsid w:val="00140FA8"/>
    <w:rsid w:val="00142FEB"/>
    <w:rsid w:val="00143A2D"/>
    <w:rsid w:val="00145A41"/>
    <w:rsid w:val="00151675"/>
    <w:rsid w:val="00157435"/>
    <w:rsid w:val="0016063B"/>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06"/>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078E0"/>
    <w:rsid w:val="0041597D"/>
    <w:rsid w:val="00416D50"/>
    <w:rsid w:val="00416FD5"/>
    <w:rsid w:val="00417772"/>
    <w:rsid w:val="00420E6A"/>
    <w:rsid w:val="00424C90"/>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85719"/>
    <w:rsid w:val="00594D77"/>
    <w:rsid w:val="005969E4"/>
    <w:rsid w:val="005A06B7"/>
    <w:rsid w:val="005A1759"/>
    <w:rsid w:val="005A68A7"/>
    <w:rsid w:val="005B314C"/>
    <w:rsid w:val="005B7E2F"/>
    <w:rsid w:val="005D36AB"/>
    <w:rsid w:val="006139B9"/>
    <w:rsid w:val="00617CC3"/>
    <w:rsid w:val="006377A6"/>
    <w:rsid w:val="00637A3D"/>
    <w:rsid w:val="006411EF"/>
    <w:rsid w:val="006748B8"/>
    <w:rsid w:val="006775C3"/>
    <w:rsid w:val="0069290A"/>
    <w:rsid w:val="0069775A"/>
    <w:rsid w:val="00697813"/>
    <w:rsid w:val="006A3EE8"/>
    <w:rsid w:val="006A72BF"/>
    <w:rsid w:val="006B03F2"/>
    <w:rsid w:val="006B3085"/>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431C"/>
    <w:rsid w:val="00767980"/>
    <w:rsid w:val="00770B19"/>
    <w:rsid w:val="0077463F"/>
    <w:rsid w:val="00782D4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0E9E"/>
    <w:rsid w:val="00982438"/>
    <w:rsid w:val="0098404C"/>
    <w:rsid w:val="00985283"/>
    <w:rsid w:val="00995992"/>
    <w:rsid w:val="009A03E5"/>
    <w:rsid w:val="009A0F3B"/>
    <w:rsid w:val="009A1BB4"/>
    <w:rsid w:val="009A2628"/>
    <w:rsid w:val="009A3200"/>
    <w:rsid w:val="009A3FCD"/>
    <w:rsid w:val="009B0897"/>
    <w:rsid w:val="009B7BD9"/>
    <w:rsid w:val="009C7DD5"/>
    <w:rsid w:val="009E227D"/>
    <w:rsid w:val="009E5019"/>
    <w:rsid w:val="00A04F1B"/>
    <w:rsid w:val="00A0501B"/>
    <w:rsid w:val="00A14947"/>
    <w:rsid w:val="00A32A83"/>
    <w:rsid w:val="00A368DB"/>
    <w:rsid w:val="00A423AA"/>
    <w:rsid w:val="00A53EC6"/>
    <w:rsid w:val="00A55C0F"/>
    <w:rsid w:val="00A60C7F"/>
    <w:rsid w:val="00A8713F"/>
    <w:rsid w:val="00A90BA1"/>
    <w:rsid w:val="00A92942"/>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415D5"/>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4CA"/>
    <w:rsid w:val="00C27537"/>
    <w:rsid w:val="00C30909"/>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07465"/>
    <w:rsid w:val="00E2656A"/>
    <w:rsid w:val="00E412D0"/>
    <w:rsid w:val="00E56322"/>
    <w:rsid w:val="00E60982"/>
    <w:rsid w:val="00E623A1"/>
    <w:rsid w:val="00E62C62"/>
    <w:rsid w:val="00E654C1"/>
    <w:rsid w:val="00E65D97"/>
    <w:rsid w:val="00E72A5A"/>
    <w:rsid w:val="00E73354"/>
    <w:rsid w:val="00E9242D"/>
    <w:rsid w:val="00EA5B16"/>
    <w:rsid w:val="00EB5255"/>
    <w:rsid w:val="00EB5C47"/>
    <w:rsid w:val="00ED0639"/>
    <w:rsid w:val="00ED3BD8"/>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C180F"/>
    <w:rsid w:val="00FD0236"/>
    <w:rsid w:val="00FD18F4"/>
    <w:rsid w:val="00FD54DB"/>
    <w:rsid w:val="00FD619F"/>
    <w:rsid w:val="0102466B"/>
    <w:rsid w:val="011A2A76"/>
    <w:rsid w:val="01286842"/>
    <w:rsid w:val="01290F7E"/>
    <w:rsid w:val="012F6CF6"/>
    <w:rsid w:val="013701DC"/>
    <w:rsid w:val="01402F72"/>
    <w:rsid w:val="015170E7"/>
    <w:rsid w:val="015D1E09"/>
    <w:rsid w:val="016E5167"/>
    <w:rsid w:val="01704A17"/>
    <w:rsid w:val="017F5EDA"/>
    <w:rsid w:val="018A0F16"/>
    <w:rsid w:val="018F4C90"/>
    <w:rsid w:val="019422A6"/>
    <w:rsid w:val="01992A89"/>
    <w:rsid w:val="01A254C9"/>
    <w:rsid w:val="01AB50E7"/>
    <w:rsid w:val="01B25794"/>
    <w:rsid w:val="01B77FDC"/>
    <w:rsid w:val="01C761D7"/>
    <w:rsid w:val="01DA227E"/>
    <w:rsid w:val="01DD34E7"/>
    <w:rsid w:val="021D40CB"/>
    <w:rsid w:val="02217FDE"/>
    <w:rsid w:val="02297F67"/>
    <w:rsid w:val="023D0267"/>
    <w:rsid w:val="025E2848"/>
    <w:rsid w:val="02697903"/>
    <w:rsid w:val="02894280"/>
    <w:rsid w:val="02AE4DF8"/>
    <w:rsid w:val="02BE583F"/>
    <w:rsid w:val="02D814BC"/>
    <w:rsid w:val="02F53F65"/>
    <w:rsid w:val="02F96569"/>
    <w:rsid w:val="030004D7"/>
    <w:rsid w:val="030408FC"/>
    <w:rsid w:val="03237321"/>
    <w:rsid w:val="03261624"/>
    <w:rsid w:val="032F26AD"/>
    <w:rsid w:val="03564768"/>
    <w:rsid w:val="03637403"/>
    <w:rsid w:val="03760066"/>
    <w:rsid w:val="037841D4"/>
    <w:rsid w:val="03796BF4"/>
    <w:rsid w:val="03892DCC"/>
    <w:rsid w:val="03896828"/>
    <w:rsid w:val="039A18E6"/>
    <w:rsid w:val="039A5958"/>
    <w:rsid w:val="03BD2011"/>
    <w:rsid w:val="03CB687F"/>
    <w:rsid w:val="03EA7B21"/>
    <w:rsid w:val="041B280B"/>
    <w:rsid w:val="042042C5"/>
    <w:rsid w:val="04253E75"/>
    <w:rsid w:val="04357D70"/>
    <w:rsid w:val="04366C6E"/>
    <w:rsid w:val="04396CD0"/>
    <w:rsid w:val="04485D7C"/>
    <w:rsid w:val="044D0D77"/>
    <w:rsid w:val="044F1633"/>
    <w:rsid w:val="045149E0"/>
    <w:rsid w:val="0453624E"/>
    <w:rsid w:val="0475016D"/>
    <w:rsid w:val="047B5DB3"/>
    <w:rsid w:val="0481195C"/>
    <w:rsid w:val="048A009C"/>
    <w:rsid w:val="049739B9"/>
    <w:rsid w:val="049C546C"/>
    <w:rsid w:val="04A919F3"/>
    <w:rsid w:val="04AC06B1"/>
    <w:rsid w:val="04B934F0"/>
    <w:rsid w:val="04C85309"/>
    <w:rsid w:val="04D07A99"/>
    <w:rsid w:val="04F0411D"/>
    <w:rsid w:val="04FF229E"/>
    <w:rsid w:val="0503313F"/>
    <w:rsid w:val="050E236F"/>
    <w:rsid w:val="05175953"/>
    <w:rsid w:val="051A6F66"/>
    <w:rsid w:val="05396F5E"/>
    <w:rsid w:val="053A68E6"/>
    <w:rsid w:val="053E4123"/>
    <w:rsid w:val="05541460"/>
    <w:rsid w:val="05B6559C"/>
    <w:rsid w:val="05D030FF"/>
    <w:rsid w:val="05DF4BDB"/>
    <w:rsid w:val="05E0714F"/>
    <w:rsid w:val="05EA42D7"/>
    <w:rsid w:val="05F11A75"/>
    <w:rsid w:val="05F83EAE"/>
    <w:rsid w:val="05FA4878"/>
    <w:rsid w:val="06000E53"/>
    <w:rsid w:val="060B495F"/>
    <w:rsid w:val="061614DB"/>
    <w:rsid w:val="0622111A"/>
    <w:rsid w:val="063E7D85"/>
    <w:rsid w:val="066C559F"/>
    <w:rsid w:val="06934706"/>
    <w:rsid w:val="06955C85"/>
    <w:rsid w:val="06A30DBE"/>
    <w:rsid w:val="06A4396C"/>
    <w:rsid w:val="06B62096"/>
    <w:rsid w:val="06BA73A4"/>
    <w:rsid w:val="06BB14B7"/>
    <w:rsid w:val="06F151EA"/>
    <w:rsid w:val="07065F8D"/>
    <w:rsid w:val="070F57C8"/>
    <w:rsid w:val="071D7A9F"/>
    <w:rsid w:val="07293586"/>
    <w:rsid w:val="07295285"/>
    <w:rsid w:val="07317D6F"/>
    <w:rsid w:val="07535B62"/>
    <w:rsid w:val="075C175F"/>
    <w:rsid w:val="07636392"/>
    <w:rsid w:val="07710B02"/>
    <w:rsid w:val="07770C56"/>
    <w:rsid w:val="079C55FA"/>
    <w:rsid w:val="079E5C2C"/>
    <w:rsid w:val="07A1396F"/>
    <w:rsid w:val="07BF0F9C"/>
    <w:rsid w:val="07DF13ED"/>
    <w:rsid w:val="07F10205"/>
    <w:rsid w:val="07FD72FC"/>
    <w:rsid w:val="080077D8"/>
    <w:rsid w:val="080A2EAD"/>
    <w:rsid w:val="0814437F"/>
    <w:rsid w:val="08187168"/>
    <w:rsid w:val="081874E1"/>
    <w:rsid w:val="081B41CD"/>
    <w:rsid w:val="083411A4"/>
    <w:rsid w:val="085A69CC"/>
    <w:rsid w:val="085C6CE0"/>
    <w:rsid w:val="08677ED3"/>
    <w:rsid w:val="086C4EAA"/>
    <w:rsid w:val="087B5A5A"/>
    <w:rsid w:val="08827A36"/>
    <w:rsid w:val="088672F2"/>
    <w:rsid w:val="088E5CA1"/>
    <w:rsid w:val="08A72892"/>
    <w:rsid w:val="08AA2BF4"/>
    <w:rsid w:val="08B60D54"/>
    <w:rsid w:val="08DA0556"/>
    <w:rsid w:val="08E73603"/>
    <w:rsid w:val="08F46A11"/>
    <w:rsid w:val="090D2A3A"/>
    <w:rsid w:val="090E6DE2"/>
    <w:rsid w:val="091837F7"/>
    <w:rsid w:val="092217DD"/>
    <w:rsid w:val="093A7294"/>
    <w:rsid w:val="094308BE"/>
    <w:rsid w:val="094D7A88"/>
    <w:rsid w:val="0952638A"/>
    <w:rsid w:val="0961679C"/>
    <w:rsid w:val="098A4E61"/>
    <w:rsid w:val="099472E7"/>
    <w:rsid w:val="09CB4CD3"/>
    <w:rsid w:val="09E83953"/>
    <w:rsid w:val="09EF476E"/>
    <w:rsid w:val="0A161AE4"/>
    <w:rsid w:val="0A206C50"/>
    <w:rsid w:val="0A263993"/>
    <w:rsid w:val="0A2D3AC2"/>
    <w:rsid w:val="0A3F53FC"/>
    <w:rsid w:val="0A5E74B5"/>
    <w:rsid w:val="0A6E4629"/>
    <w:rsid w:val="0A786C09"/>
    <w:rsid w:val="0A7E2BC5"/>
    <w:rsid w:val="0A8334DB"/>
    <w:rsid w:val="0A8969B5"/>
    <w:rsid w:val="0A912C8D"/>
    <w:rsid w:val="0AA41507"/>
    <w:rsid w:val="0AA755DF"/>
    <w:rsid w:val="0AB2104B"/>
    <w:rsid w:val="0AC67FB7"/>
    <w:rsid w:val="0AD91E55"/>
    <w:rsid w:val="0AEB20FF"/>
    <w:rsid w:val="0AF03709"/>
    <w:rsid w:val="0AF348CC"/>
    <w:rsid w:val="0AFC1AD6"/>
    <w:rsid w:val="0B0815FA"/>
    <w:rsid w:val="0B082A4D"/>
    <w:rsid w:val="0B0E0EBD"/>
    <w:rsid w:val="0B120D44"/>
    <w:rsid w:val="0B2823FC"/>
    <w:rsid w:val="0B2D79F3"/>
    <w:rsid w:val="0B43444A"/>
    <w:rsid w:val="0B6B12B4"/>
    <w:rsid w:val="0B761599"/>
    <w:rsid w:val="0B761B47"/>
    <w:rsid w:val="0B8C7CFE"/>
    <w:rsid w:val="0B9F5774"/>
    <w:rsid w:val="0BA649CA"/>
    <w:rsid w:val="0BC85336"/>
    <w:rsid w:val="0BD27BF6"/>
    <w:rsid w:val="0BDE0B3D"/>
    <w:rsid w:val="0BF059CE"/>
    <w:rsid w:val="0BF905E3"/>
    <w:rsid w:val="0C0046FE"/>
    <w:rsid w:val="0C016011"/>
    <w:rsid w:val="0C1D544E"/>
    <w:rsid w:val="0C2A5CB3"/>
    <w:rsid w:val="0C2B255E"/>
    <w:rsid w:val="0C3B3C7D"/>
    <w:rsid w:val="0C3B496C"/>
    <w:rsid w:val="0C4D7A70"/>
    <w:rsid w:val="0C5D1E9D"/>
    <w:rsid w:val="0C656D19"/>
    <w:rsid w:val="0C706F95"/>
    <w:rsid w:val="0C727688"/>
    <w:rsid w:val="0C822729"/>
    <w:rsid w:val="0C887CFC"/>
    <w:rsid w:val="0CAB2EAE"/>
    <w:rsid w:val="0CC84FFA"/>
    <w:rsid w:val="0CDB4AA1"/>
    <w:rsid w:val="0CE10838"/>
    <w:rsid w:val="0CFB0DD5"/>
    <w:rsid w:val="0D006985"/>
    <w:rsid w:val="0D010FCF"/>
    <w:rsid w:val="0D1A2294"/>
    <w:rsid w:val="0D340C4A"/>
    <w:rsid w:val="0D3A230D"/>
    <w:rsid w:val="0D4234FE"/>
    <w:rsid w:val="0D4B7ECD"/>
    <w:rsid w:val="0D621C7D"/>
    <w:rsid w:val="0D622B9F"/>
    <w:rsid w:val="0D847E31"/>
    <w:rsid w:val="0D892CEA"/>
    <w:rsid w:val="0D897A25"/>
    <w:rsid w:val="0D8C6FD4"/>
    <w:rsid w:val="0DA2581C"/>
    <w:rsid w:val="0DAA5DBB"/>
    <w:rsid w:val="0DCA039E"/>
    <w:rsid w:val="0DD72B8E"/>
    <w:rsid w:val="0E0951F5"/>
    <w:rsid w:val="0E0E1DF3"/>
    <w:rsid w:val="0E1D7868"/>
    <w:rsid w:val="0E376FED"/>
    <w:rsid w:val="0E394255"/>
    <w:rsid w:val="0E52396E"/>
    <w:rsid w:val="0E552DBD"/>
    <w:rsid w:val="0E570A80"/>
    <w:rsid w:val="0E5A2BA6"/>
    <w:rsid w:val="0E5D7B1D"/>
    <w:rsid w:val="0E5E7A23"/>
    <w:rsid w:val="0E6A5EA3"/>
    <w:rsid w:val="0E73034D"/>
    <w:rsid w:val="0E9F76B9"/>
    <w:rsid w:val="0EAA4EB7"/>
    <w:rsid w:val="0EB145F3"/>
    <w:rsid w:val="0EE04D7C"/>
    <w:rsid w:val="0EEE6839"/>
    <w:rsid w:val="0EF13522"/>
    <w:rsid w:val="0F08484E"/>
    <w:rsid w:val="0F13775A"/>
    <w:rsid w:val="0F265850"/>
    <w:rsid w:val="0F4327CC"/>
    <w:rsid w:val="0F492B0E"/>
    <w:rsid w:val="0F596FB9"/>
    <w:rsid w:val="0F5F45FE"/>
    <w:rsid w:val="0F615EBD"/>
    <w:rsid w:val="0F766F5C"/>
    <w:rsid w:val="0F8716FC"/>
    <w:rsid w:val="0F953DB9"/>
    <w:rsid w:val="0F9A112B"/>
    <w:rsid w:val="0F9A317D"/>
    <w:rsid w:val="0FC95811"/>
    <w:rsid w:val="0FDA3030"/>
    <w:rsid w:val="0FF17D06"/>
    <w:rsid w:val="0FF64B4E"/>
    <w:rsid w:val="10223891"/>
    <w:rsid w:val="104313AF"/>
    <w:rsid w:val="10500B13"/>
    <w:rsid w:val="106D2F64"/>
    <w:rsid w:val="107A6B0B"/>
    <w:rsid w:val="107E484D"/>
    <w:rsid w:val="108168F4"/>
    <w:rsid w:val="10851E65"/>
    <w:rsid w:val="10A56898"/>
    <w:rsid w:val="10AA627E"/>
    <w:rsid w:val="10B63710"/>
    <w:rsid w:val="10DB3A4D"/>
    <w:rsid w:val="10DE709A"/>
    <w:rsid w:val="10F10820"/>
    <w:rsid w:val="11175CA6"/>
    <w:rsid w:val="111C2F7A"/>
    <w:rsid w:val="111D4066"/>
    <w:rsid w:val="1141404F"/>
    <w:rsid w:val="114D2057"/>
    <w:rsid w:val="115C4694"/>
    <w:rsid w:val="1160746F"/>
    <w:rsid w:val="11655F9A"/>
    <w:rsid w:val="11665CA1"/>
    <w:rsid w:val="116A1570"/>
    <w:rsid w:val="11707412"/>
    <w:rsid w:val="1178129C"/>
    <w:rsid w:val="11924AED"/>
    <w:rsid w:val="11B75F22"/>
    <w:rsid w:val="11C411D4"/>
    <w:rsid w:val="11CF5147"/>
    <w:rsid w:val="11DA630D"/>
    <w:rsid w:val="11F75528"/>
    <w:rsid w:val="121C5913"/>
    <w:rsid w:val="123353FC"/>
    <w:rsid w:val="124F4891"/>
    <w:rsid w:val="128B34F8"/>
    <w:rsid w:val="1291577F"/>
    <w:rsid w:val="12957005"/>
    <w:rsid w:val="129A6329"/>
    <w:rsid w:val="129E04F3"/>
    <w:rsid w:val="12A16153"/>
    <w:rsid w:val="12A67747"/>
    <w:rsid w:val="12BB7BFF"/>
    <w:rsid w:val="12C07F69"/>
    <w:rsid w:val="12C5517D"/>
    <w:rsid w:val="12DB3DA1"/>
    <w:rsid w:val="12E34E15"/>
    <w:rsid w:val="13092D75"/>
    <w:rsid w:val="131E31BF"/>
    <w:rsid w:val="13223BB5"/>
    <w:rsid w:val="1337394A"/>
    <w:rsid w:val="13377497"/>
    <w:rsid w:val="1362048E"/>
    <w:rsid w:val="136E1CFC"/>
    <w:rsid w:val="13750189"/>
    <w:rsid w:val="138145CD"/>
    <w:rsid w:val="13951726"/>
    <w:rsid w:val="13966E09"/>
    <w:rsid w:val="13975A19"/>
    <w:rsid w:val="13B40FFF"/>
    <w:rsid w:val="13C474C1"/>
    <w:rsid w:val="13C53105"/>
    <w:rsid w:val="13D10046"/>
    <w:rsid w:val="13D35C6C"/>
    <w:rsid w:val="13DC51F1"/>
    <w:rsid w:val="13E26EA1"/>
    <w:rsid w:val="13E466D1"/>
    <w:rsid w:val="141554C8"/>
    <w:rsid w:val="14224DED"/>
    <w:rsid w:val="142F1B4A"/>
    <w:rsid w:val="14394586"/>
    <w:rsid w:val="14396509"/>
    <w:rsid w:val="144B16FD"/>
    <w:rsid w:val="14646D36"/>
    <w:rsid w:val="148A47A1"/>
    <w:rsid w:val="148A67DD"/>
    <w:rsid w:val="148C0722"/>
    <w:rsid w:val="14A14FAE"/>
    <w:rsid w:val="14A95C11"/>
    <w:rsid w:val="14AD5421"/>
    <w:rsid w:val="14AE45AC"/>
    <w:rsid w:val="14CF3781"/>
    <w:rsid w:val="14DD2C3C"/>
    <w:rsid w:val="14EF6EE8"/>
    <w:rsid w:val="14F51BFA"/>
    <w:rsid w:val="15064E11"/>
    <w:rsid w:val="1511181B"/>
    <w:rsid w:val="15164965"/>
    <w:rsid w:val="15462DE3"/>
    <w:rsid w:val="154A5AFB"/>
    <w:rsid w:val="15551A1F"/>
    <w:rsid w:val="156616AF"/>
    <w:rsid w:val="1567727A"/>
    <w:rsid w:val="15697AA4"/>
    <w:rsid w:val="156D2139"/>
    <w:rsid w:val="158D32DB"/>
    <w:rsid w:val="15A4414F"/>
    <w:rsid w:val="15C5749F"/>
    <w:rsid w:val="15C82745"/>
    <w:rsid w:val="15DB31EF"/>
    <w:rsid w:val="15E14323"/>
    <w:rsid w:val="15EA481B"/>
    <w:rsid w:val="16087E1D"/>
    <w:rsid w:val="160E1540"/>
    <w:rsid w:val="16113A6D"/>
    <w:rsid w:val="1611784F"/>
    <w:rsid w:val="161D5290"/>
    <w:rsid w:val="166041CE"/>
    <w:rsid w:val="16776354"/>
    <w:rsid w:val="167E13E0"/>
    <w:rsid w:val="16805733"/>
    <w:rsid w:val="16832492"/>
    <w:rsid w:val="16900E36"/>
    <w:rsid w:val="169B7094"/>
    <w:rsid w:val="16A54DAD"/>
    <w:rsid w:val="16AF06BC"/>
    <w:rsid w:val="16C425C3"/>
    <w:rsid w:val="16E33E93"/>
    <w:rsid w:val="16FB431A"/>
    <w:rsid w:val="170863F1"/>
    <w:rsid w:val="174213C3"/>
    <w:rsid w:val="17486D8B"/>
    <w:rsid w:val="17516817"/>
    <w:rsid w:val="17612A75"/>
    <w:rsid w:val="17701D14"/>
    <w:rsid w:val="17735226"/>
    <w:rsid w:val="178070FD"/>
    <w:rsid w:val="17867785"/>
    <w:rsid w:val="178B7A91"/>
    <w:rsid w:val="17AF7A3E"/>
    <w:rsid w:val="17B5758E"/>
    <w:rsid w:val="17C31702"/>
    <w:rsid w:val="17C3570D"/>
    <w:rsid w:val="17C95A6F"/>
    <w:rsid w:val="17EC7880"/>
    <w:rsid w:val="17ED54A7"/>
    <w:rsid w:val="17F50741"/>
    <w:rsid w:val="17F95A9C"/>
    <w:rsid w:val="182539D9"/>
    <w:rsid w:val="18335F1D"/>
    <w:rsid w:val="183629FC"/>
    <w:rsid w:val="1845341B"/>
    <w:rsid w:val="1847115E"/>
    <w:rsid w:val="1853569A"/>
    <w:rsid w:val="189F624C"/>
    <w:rsid w:val="18A020B7"/>
    <w:rsid w:val="18A12397"/>
    <w:rsid w:val="18AD7317"/>
    <w:rsid w:val="18B84737"/>
    <w:rsid w:val="18BB2A50"/>
    <w:rsid w:val="18BD1C8B"/>
    <w:rsid w:val="18C31E03"/>
    <w:rsid w:val="18CF763B"/>
    <w:rsid w:val="18E14D7F"/>
    <w:rsid w:val="18ED07C2"/>
    <w:rsid w:val="18FC315B"/>
    <w:rsid w:val="190478B9"/>
    <w:rsid w:val="19142677"/>
    <w:rsid w:val="191D4AB9"/>
    <w:rsid w:val="19490195"/>
    <w:rsid w:val="195919B3"/>
    <w:rsid w:val="19791CB6"/>
    <w:rsid w:val="19882298"/>
    <w:rsid w:val="19B17A41"/>
    <w:rsid w:val="19C107DB"/>
    <w:rsid w:val="19D84FCE"/>
    <w:rsid w:val="19E020D4"/>
    <w:rsid w:val="19E04411"/>
    <w:rsid w:val="1A007E2D"/>
    <w:rsid w:val="1A1C66C0"/>
    <w:rsid w:val="1A344B41"/>
    <w:rsid w:val="1A3E57CD"/>
    <w:rsid w:val="1A42393B"/>
    <w:rsid w:val="1A4B1C44"/>
    <w:rsid w:val="1A4F0ED2"/>
    <w:rsid w:val="1A873E29"/>
    <w:rsid w:val="1A945A50"/>
    <w:rsid w:val="1A9829AF"/>
    <w:rsid w:val="1A9C1C7A"/>
    <w:rsid w:val="1A9D49C0"/>
    <w:rsid w:val="1AAD45DE"/>
    <w:rsid w:val="1AAE1A54"/>
    <w:rsid w:val="1AB22290"/>
    <w:rsid w:val="1AB5423B"/>
    <w:rsid w:val="1AC72943"/>
    <w:rsid w:val="1ACB12D4"/>
    <w:rsid w:val="1ACE3A76"/>
    <w:rsid w:val="1AD42EC8"/>
    <w:rsid w:val="1ADC0670"/>
    <w:rsid w:val="1ADD18DC"/>
    <w:rsid w:val="1AF10480"/>
    <w:rsid w:val="1AFC07EC"/>
    <w:rsid w:val="1B046F80"/>
    <w:rsid w:val="1B2C47DF"/>
    <w:rsid w:val="1B2F2DA7"/>
    <w:rsid w:val="1B3267B5"/>
    <w:rsid w:val="1B40161D"/>
    <w:rsid w:val="1B441859"/>
    <w:rsid w:val="1B642331"/>
    <w:rsid w:val="1B6606B1"/>
    <w:rsid w:val="1B724EFE"/>
    <w:rsid w:val="1B8B3B2B"/>
    <w:rsid w:val="1B941D27"/>
    <w:rsid w:val="1B9E72CC"/>
    <w:rsid w:val="1BA333BA"/>
    <w:rsid w:val="1BAC515E"/>
    <w:rsid w:val="1BB67591"/>
    <w:rsid w:val="1BBB4BA7"/>
    <w:rsid w:val="1BCA2F75"/>
    <w:rsid w:val="1BED062B"/>
    <w:rsid w:val="1BF62154"/>
    <w:rsid w:val="1C0C0148"/>
    <w:rsid w:val="1C2303EF"/>
    <w:rsid w:val="1C33745D"/>
    <w:rsid w:val="1C3D43D1"/>
    <w:rsid w:val="1C3F7586"/>
    <w:rsid w:val="1C4214CC"/>
    <w:rsid w:val="1C563570"/>
    <w:rsid w:val="1C5E7925"/>
    <w:rsid w:val="1C60622A"/>
    <w:rsid w:val="1C816435"/>
    <w:rsid w:val="1C8F184C"/>
    <w:rsid w:val="1C9C587A"/>
    <w:rsid w:val="1CA41E3E"/>
    <w:rsid w:val="1CA90F1B"/>
    <w:rsid w:val="1CB6536F"/>
    <w:rsid w:val="1CC0666C"/>
    <w:rsid w:val="1CC3013D"/>
    <w:rsid w:val="1CCD675A"/>
    <w:rsid w:val="1CD76EE6"/>
    <w:rsid w:val="1CE92B95"/>
    <w:rsid w:val="1CF360C6"/>
    <w:rsid w:val="1CFB3537"/>
    <w:rsid w:val="1CFD070F"/>
    <w:rsid w:val="1CFF5637"/>
    <w:rsid w:val="1D067C95"/>
    <w:rsid w:val="1D2D32FF"/>
    <w:rsid w:val="1D3E783E"/>
    <w:rsid w:val="1D3F7112"/>
    <w:rsid w:val="1D410A5A"/>
    <w:rsid w:val="1D5B56D7"/>
    <w:rsid w:val="1D5F6196"/>
    <w:rsid w:val="1D6132A5"/>
    <w:rsid w:val="1D735F88"/>
    <w:rsid w:val="1D7E27C4"/>
    <w:rsid w:val="1D837D50"/>
    <w:rsid w:val="1D8E56D5"/>
    <w:rsid w:val="1DA43419"/>
    <w:rsid w:val="1DC13ACA"/>
    <w:rsid w:val="1DDE458D"/>
    <w:rsid w:val="1DE33714"/>
    <w:rsid w:val="1DE57CB9"/>
    <w:rsid w:val="1E0A3BC4"/>
    <w:rsid w:val="1E15607B"/>
    <w:rsid w:val="1E1660C5"/>
    <w:rsid w:val="1E2B5EDA"/>
    <w:rsid w:val="1E2E5632"/>
    <w:rsid w:val="1E3319C7"/>
    <w:rsid w:val="1E584EBC"/>
    <w:rsid w:val="1E6726C8"/>
    <w:rsid w:val="1E6E0686"/>
    <w:rsid w:val="1E7A43DA"/>
    <w:rsid w:val="1E831A19"/>
    <w:rsid w:val="1E926723"/>
    <w:rsid w:val="1E9E60BA"/>
    <w:rsid w:val="1ED97848"/>
    <w:rsid w:val="1EE472DE"/>
    <w:rsid w:val="1F0249E9"/>
    <w:rsid w:val="1F027B1D"/>
    <w:rsid w:val="1F0921D2"/>
    <w:rsid w:val="1F1114B4"/>
    <w:rsid w:val="1F165223"/>
    <w:rsid w:val="1F196F16"/>
    <w:rsid w:val="1F274762"/>
    <w:rsid w:val="1F354C71"/>
    <w:rsid w:val="1F38092F"/>
    <w:rsid w:val="1F4467B6"/>
    <w:rsid w:val="1F574C49"/>
    <w:rsid w:val="1F5B7E2B"/>
    <w:rsid w:val="1F6B0333"/>
    <w:rsid w:val="1F825779"/>
    <w:rsid w:val="1F8427C9"/>
    <w:rsid w:val="1F954ADD"/>
    <w:rsid w:val="1FBB6424"/>
    <w:rsid w:val="1FBD1721"/>
    <w:rsid w:val="1FC0629E"/>
    <w:rsid w:val="1FD3016F"/>
    <w:rsid w:val="1FD57E59"/>
    <w:rsid w:val="1FDD63D3"/>
    <w:rsid w:val="1FE7539E"/>
    <w:rsid w:val="20014889"/>
    <w:rsid w:val="20024E6D"/>
    <w:rsid w:val="200B6F8C"/>
    <w:rsid w:val="20273579"/>
    <w:rsid w:val="20493DBF"/>
    <w:rsid w:val="20557A2B"/>
    <w:rsid w:val="20671BE0"/>
    <w:rsid w:val="20775365"/>
    <w:rsid w:val="208E0858"/>
    <w:rsid w:val="20963CB8"/>
    <w:rsid w:val="20970344"/>
    <w:rsid w:val="20A81A1B"/>
    <w:rsid w:val="20AE1417"/>
    <w:rsid w:val="20AF605A"/>
    <w:rsid w:val="20AF6600"/>
    <w:rsid w:val="20B07FB6"/>
    <w:rsid w:val="20B646FB"/>
    <w:rsid w:val="20B94744"/>
    <w:rsid w:val="20BC32B1"/>
    <w:rsid w:val="20D77288"/>
    <w:rsid w:val="20F94E22"/>
    <w:rsid w:val="21355752"/>
    <w:rsid w:val="213B74B1"/>
    <w:rsid w:val="214071B8"/>
    <w:rsid w:val="21441FAC"/>
    <w:rsid w:val="21446749"/>
    <w:rsid w:val="215A2310"/>
    <w:rsid w:val="216A2B97"/>
    <w:rsid w:val="2174285E"/>
    <w:rsid w:val="218B0B78"/>
    <w:rsid w:val="21955D79"/>
    <w:rsid w:val="21B20989"/>
    <w:rsid w:val="21B55D3A"/>
    <w:rsid w:val="21D818E3"/>
    <w:rsid w:val="21DE318A"/>
    <w:rsid w:val="21E94FBA"/>
    <w:rsid w:val="21EF444C"/>
    <w:rsid w:val="21EF5B80"/>
    <w:rsid w:val="21F44756"/>
    <w:rsid w:val="22007A49"/>
    <w:rsid w:val="22014B7E"/>
    <w:rsid w:val="220841AE"/>
    <w:rsid w:val="220E3BF3"/>
    <w:rsid w:val="222E626E"/>
    <w:rsid w:val="223056D1"/>
    <w:rsid w:val="22351346"/>
    <w:rsid w:val="22394A78"/>
    <w:rsid w:val="224C5720"/>
    <w:rsid w:val="224E7BBE"/>
    <w:rsid w:val="22576990"/>
    <w:rsid w:val="225F2E68"/>
    <w:rsid w:val="2263629C"/>
    <w:rsid w:val="2268710B"/>
    <w:rsid w:val="226B475B"/>
    <w:rsid w:val="22961DB5"/>
    <w:rsid w:val="22BA23F0"/>
    <w:rsid w:val="22BC541C"/>
    <w:rsid w:val="22C560EA"/>
    <w:rsid w:val="22D336EA"/>
    <w:rsid w:val="22DD3655"/>
    <w:rsid w:val="22E1001D"/>
    <w:rsid w:val="22E7686E"/>
    <w:rsid w:val="22F47480"/>
    <w:rsid w:val="23012FCA"/>
    <w:rsid w:val="230A7076"/>
    <w:rsid w:val="23130E25"/>
    <w:rsid w:val="23182EF2"/>
    <w:rsid w:val="2321156E"/>
    <w:rsid w:val="23411CCC"/>
    <w:rsid w:val="237155CC"/>
    <w:rsid w:val="23774408"/>
    <w:rsid w:val="237A337F"/>
    <w:rsid w:val="237B65A5"/>
    <w:rsid w:val="23874C53"/>
    <w:rsid w:val="238C08CF"/>
    <w:rsid w:val="238E5395"/>
    <w:rsid w:val="239857CE"/>
    <w:rsid w:val="23A221A9"/>
    <w:rsid w:val="23A62696"/>
    <w:rsid w:val="23A8437E"/>
    <w:rsid w:val="23D70FF8"/>
    <w:rsid w:val="23DB6DF7"/>
    <w:rsid w:val="23DE1C48"/>
    <w:rsid w:val="23E67DB1"/>
    <w:rsid w:val="23F0560A"/>
    <w:rsid w:val="240210CD"/>
    <w:rsid w:val="2409617F"/>
    <w:rsid w:val="241E0F7B"/>
    <w:rsid w:val="241E5CD3"/>
    <w:rsid w:val="24311EAA"/>
    <w:rsid w:val="24385831"/>
    <w:rsid w:val="244016C1"/>
    <w:rsid w:val="24472BFB"/>
    <w:rsid w:val="24492985"/>
    <w:rsid w:val="245931AF"/>
    <w:rsid w:val="246F4491"/>
    <w:rsid w:val="246F695B"/>
    <w:rsid w:val="24741B6A"/>
    <w:rsid w:val="24832E52"/>
    <w:rsid w:val="24890169"/>
    <w:rsid w:val="248C5321"/>
    <w:rsid w:val="24964760"/>
    <w:rsid w:val="24AB12B6"/>
    <w:rsid w:val="24AD7057"/>
    <w:rsid w:val="24B406FD"/>
    <w:rsid w:val="24B41D58"/>
    <w:rsid w:val="24B64D78"/>
    <w:rsid w:val="24BF09F7"/>
    <w:rsid w:val="24CB4B77"/>
    <w:rsid w:val="24FE7EC9"/>
    <w:rsid w:val="250C6474"/>
    <w:rsid w:val="251223F2"/>
    <w:rsid w:val="251616B5"/>
    <w:rsid w:val="252B34B9"/>
    <w:rsid w:val="252D53FE"/>
    <w:rsid w:val="253258DD"/>
    <w:rsid w:val="25341526"/>
    <w:rsid w:val="253773C9"/>
    <w:rsid w:val="253B0B07"/>
    <w:rsid w:val="255120D8"/>
    <w:rsid w:val="255720BC"/>
    <w:rsid w:val="25677EB9"/>
    <w:rsid w:val="25746EAC"/>
    <w:rsid w:val="25845EA1"/>
    <w:rsid w:val="25916979"/>
    <w:rsid w:val="25972C7C"/>
    <w:rsid w:val="25A91B18"/>
    <w:rsid w:val="25A95A70"/>
    <w:rsid w:val="25EC2D81"/>
    <w:rsid w:val="25EF26A6"/>
    <w:rsid w:val="260A540C"/>
    <w:rsid w:val="26101CB4"/>
    <w:rsid w:val="26117D02"/>
    <w:rsid w:val="26273824"/>
    <w:rsid w:val="262D07A9"/>
    <w:rsid w:val="26416B17"/>
    <w:rsid w:val="265346BF"/>
    <w:rsid w:val="26556E83"/>
    <w:rsid w:val="266D25E4"/>
    <w:rsid w:val="26716A18"/>
    <w:rsid w:val="26B172D2"/>
    <w:rsid w:val="26E7357D"/>
    <w:rsid w:val="26FE7A77"/>
    <w:rsid w:val="27196C26"/>
    <w:rsid w:val="271A6329"/>
    <w:rsid w:val="272468AB"/>
    <w:rsid w:val="27284ECD"/>
    <w:rsid w:val="27290774"/>
    <w:rsid w:val="272B74F7"/>
    <w:rsid w:val="2732483F"/>
    <w:rsid w:val="274B0FC8"/>
    <w:rsid w:val="275C03F2"/>
    <w:rsid w:val="27605F57"/>
    <w:rsid w:val="277057A2"/>
    <w:rsid w:val="27940FFD"/>
    <w:rsid w:val="27A859E6"/>
    <w:rsid w:val="27D616F7"/>
    <w:rsid w:val="28056877"/>
    <w:rsid w:val="281F48F8"/>
    <w:rsid w:val="282752BB"/>
    <w:rsid w:val="28347C28"/>
    <w:rsid w:val="283D06F2"/>
    <w:rsid w:val="28421DE7"/>
    <w:rsid w:val="2858050E"/>
    <w:rsid w:val="2872666B"/>
    <w:rsid w:val="287A36F4"/>
    <w:rsid w:val="288D78CB"/>
    <w:rsid w:val="28957206"/>
    <w:rsid w:val="28993F0C"/>
    <w:rsid w:val="28DE650E"/>
    <w:rsid w:val="28F90ABD"/>
    <w:rsid w:val="29037AE5"/>
    <w:rsid w:val="29080904"/>
    <w:rsid w:val="290F208E"/>
    <w:rsid w:val="291476A5"/>
    <w:rsid w:val="291B5CDE"/>
    <w:rsid w:val="29206EB8"/>
    <w:rsid w:val="29473A54"/>
    <w:rsid w:val="29544A8E"/>
    <w:rsid w:val="29595666"/>
    <w:rsid w:val="296E6F52"/>
    <w:rsid w:val="29800878"/>
    <w:rsid w:val="298365D8"/>
    <w:rsid w:val="29874881"/>
    <w:rsid w:val="298B71D5"/>
    <w:rsid w:val="29906EF0"/>
    <w:rsid w:val="29A17EAC"/>
    <w:rsid w:val="29A94695"/>
    <w:rsid w:val="29AE7DEF"/>
    <w:rsid w:val="29B5149D"/>
    <w:rsid w:val="29E325E0"/>
    <w:rsid w:val="29E75F92"/>
    <w:rsid w:val="29F53B22"/>
    <w:rsid w:val="2A007C29"/>
    <w:rsid w:val="2A221EBE"/>
    <w:rsid w:val="2A3B381C"/>
    <w:rsid w:val="2A3F42BC"/>
    <w:rsid w:val="2A431549"/>
    <w:rsid w:val="2A4445C9"/>
    <w:rsid w:val="2A452503"/>
    <w:rsid w:val="2A453BA5"/>
    <w:rsid w:val="2A4560AF"/>
    <w:rsid w:val="2A475BDD"/>
    <w:rsid w:val="2A554419"/>
    <w:rsid w:val="2A5F24D8"/>
    <w:rsid w:val="2A84183E"/>
    <w:rsid w:val="2A8A6722"/>
    <w:rsid w:val="2A917700"/>
    <w:rsid w:val="2AA16252"/>
    <w:rsid w:val="2AA9418B"/>
    <w:rsid w:val="2AAF134A"/>
    <w:rsid w:val="2ACE2255"/>
    <w:rsid w:val="2AD86C74"/>
    <w:rsid w:val="2B005CC1"/>
    <w:rsid w:val="2B0C3D5A"/>
    <w:rsid w:val="2B0D0B5A"/>
    <w:rsid w:val="2B1020EE"/>
    <w:rsid w:val="2B22595C"/>
    <w:rsid w:val="2B2A31B0"/>
    <w:rsid w:val="2B2B674C"/>
    <w:rsid w:val="2B3048BE"/>
    <w:rsid w:val="2B3A6999"/>
    <w:rsid w:val="2B471FB3"/>
    <w:rsid w:val="2B493CB4"/>
    <w:rsid w:val="2B4D7AEF"/>
    <w:rsid w:val="2B537A46"/>
    <w:rsid w:val="2B546A41"/>
    <w:rsid w:val="2B6A3079"/>
    <w:rsid w:val="2B741EA8"/>
    <w:rsid w:val="2B934178"/>
    <w:rsid w:val="2B9B62E5"/>
    <w:rsid w:val="2BA936A8"/>
    <w:rsid w:val="2BB805D3"/>
    <w:rsid w:val="2BB87423"/>
    <w:rsid w:val="2BC263F5"/>
    <w:rsid w:val="2BCB013A"/>
    <w:rsid w:val="2BD16AF9"/>
    <w:rsid w:val="2BD87FE9"/>
    <w:rsid w:val="2BEA266B"/>
    <w:rsid w:val="2C066A24"/>
    <w:rsid w:val="2C0F7BF3"/>
    <w:rsid w:val="2C315A5A"/>
    <w:rsid w:val="2C4402B9"/>
    <w:rsid w:val="2C454E7B"/>
    <w:rsid w:val="2C4B1C25"/>
    <w:rsid w:val="2C62155A"/>
    <w:rsid w:val="2C752CDD"/>
    <w:rsid w:val="2C8A5D60"/>
    <w:rsid w:val="2C9968D5"/>
    <w:rsid w:val="2CA70AD9"/>
    <w:rsid w:val="2CB34A78"/>
    <w:rsid w:val="2CCD07AD"/>
    <w:rsid w:val="2CE71069"/>
    <w:rsid w:val="2CEF1078"/>
    <w:rsid w:val="2D0D46C7"/>
    <w:rsid w:val="2D151964"/>
    <w:rsid w:val="2D1A0EBD"/>
    <w:rsid w:val="2D28382A"/>
    <w:rsid w:val="2D2F2CFF"/>
    <w:rsid w:val="2D306A77"/>
    <w:rsid w:val="2D327144"/>
    <w:rsid w:val="2D3B23EE"/>
    <w:rsid w:val="2D3D115B"/>
    <w:rsid w:val="2D3E1194"/>
    <w:rsid w:val="2D4067BB"/>
    <w:rsid w:val="2D47046C"/>
    <w:rsid w:val="2D7D7F0E"/>
    <w:rsid w:val="2D8C0AB3"/>
    <w:rsid w:val="2D965585"/>
    <w:rsid w:val="2D9B65E7"/>
    <w:rsid w:val="2D9E56F5"/>
    <w:rsid w:val="2DA2107E"/>
    <w:rsid w:val="2DA62BC3"/>
    <w:rsid w:val="2DD03E3F"/>
    <w:rsid w:val="2DD546A0"/>
    <w:rsid w:val="2DEF248E"/>
    <w:rsid w:val="2DF6341E"/>
    <w:rsid w:val="2DF725B3"/>
    <w:rsid w:val="2DFA12E6"/>
    <w:rsid w:val="2E152640"/>
    <w:rsid w:val="2E2A1C77"/>
    <w:rsid w:val="2E356398"/>
    <w:rsid w:val="2E3568A5"/>
    <w:rsid w:val="2E3831E1"/>
    <w:rsid w:val="2E39140A"/>
    <w:rsid w:val="2E3D14BE"/>
    <w:rsid w:val="2E667F96"/>
    <w:rsid w:val="2E8226AB"/>
    <w:rsid w:val="2E840E29"/>
    <w:rsid w:val="2E994E1E"/>
    <w:rsid w:val="2E9B6172"/>
    <w:rsid w:val="2E9D3F35"/>
    <w:rsid w:val="2EAF2699"/>
    <w:rsid w:val="2EBC2851"/>
    <w:rsid w:val="2ED81174"/>
    <w:rsid w:val="2EE16C41"/>
    <w:rsid w:val="2EED4C20"/>
    <w:rsid w:val="2EF869BE"/>
    <w:rsid w:val="2EFA5EAD"/>
    <w:rsid w:val="2F1254DC"/>
    <w:rsid w:val="2F26356C"/>
    <w:rsid w:val="2F297BBA"/>
    <w:rsid w:val="2F3D1A15"/>
    <w:rsid w:val="2F6824F8"/>
    <w:rsid w:val="2F8966D6"/>
    <w:rsid w:val="2F970F71"/>
    <w:rsid w:val="2FA74188"/>
    <w:rsid w:val="2FB91C32"/>
    <w:rsid w:val="2FD065E6"/>
    <w:rsid w:val="2FD1009E"/>
    <w:rsid w:val="2FD355C2"/>
    <w:rsid w:val="2FD96870"/>
    <w:rsid w:val="2FED4468"/>
    <w:rsid w:val="2FEE0E1F"/>
    <w:rsid w:val="2FF23891"/>
    <w:rsid w:val="300B0AA2"/>
    <w:rsid w:val="300B1155"/>
    <w:rsid w:val="302428C3"/>
    <w:rsid w:val="303F3688"/>
    <w:rsid w:val="303F69D5"/>
    <w:rsid w:val="304508D2"/>
    <w:rsid w:val="30580BC9"/>
    <w:rsid w:val="305B62B2"/>
    <w:rsid w:val="306D0F75"/>
    <w:rsid w:val="307F16BF"/>
    <w:rsid w:val="308C7885"/>
    <w:rsid w:val="308F30E5"/>
    <w:rsid w:val="30903695"/>
    <w:rsid w:val="30A74DBA"/>
    <w:rsid w:val="30A9731C"/>
    <w:rsid w:val="30CE2752"/>
    <w:rsid w:val="30DB2E75"/>
    <w:rsid w:val="30E9188B"/>
    <w:rsid w:val="30F37660"/>
    <w:rsid w:val="30F7099D"/>
    <w:rsid w:val="30F911EB"/>
    <w:rsid w:val="31097E11"/>
    <w:rsid w:val="310A0497"/>
    <w:rsid w:val="310B5831"/>
    <w:rsid w:val="310B75DF"/>
    <w:rsid w:val="310E5321"/>
    <w:rsid w:val="311A0623"/>
    <w:rsid w:val="311E2ED7"/>
    <w:rsid w:val="312502A3"/>
    <w:rsid w:val="31472B38"/>
    <w:rsid w:val="315619EE"/>
    <w:rsid w:val="31576CC8"/>
    <w:rsid w:val="315C449C"/>
    <w:rsid w:val="31AA64C5"/>
    <w:rsid w:val="31B152B7"/>
    <w:rsid w:val="31B40D3B"/>
    <w:rsid w:val="31B732C3"/>
    <w:rsid w:val="31B82709"/>
    <w:rsid w:val="31BA4361"/>
    <w:rsid w:val="31C75BFC"/>
    <w:rsid w:val="31D04895"/>
    <w:rsid w:val="31D05482"/>
    <w:rsid w:val="31D64A87"/>
    <w:rsid w:val="31F84007"/>
    <w:rsid w:val="32043315"/>
    <w:rsid w:val="32077AA3"/>
    <w:rsid w:val="320D2C29"/>
    <w:rsid w:val="32140500"/>
    <w:rsid w:val="32313563"/>
    <w:rsid w:val="32356ECF"/>
    <w:rsid w:val="32400B34"/>
    <w:rsid w:val="32714561"/>
    <w:rsid w:val="328452CA"/>
    <w:rsid w:val="328E696E"/>
    <w:rsid w:val="32994521"/>
    <w:rsid w:val="329B7167"/>
    <w:rsid w:val="329E6876"/>
    <w:rsid w:val="32C510AF"/>
    <w:rsid w:val="32CD4FAB"/>
    <w:rsid w:val="32D9768F"/>
    <w:rsid w:val="32E620B2"/>
    <w:rsid w:val="32EF7554"/>
    <w:rsid w:val="33064502"/>
    <w:rsid w:val="331554B5"/>
    <w:rsid w:val="332130EA"/>
    <w:rsid w:val="332F5B8B"/>
    <w:rsid w:val="333015F2"/>
    <w:rsid w:val="33371E79"/>
    <w:rsid w:val="333D0637"/>
    <w:rsid w:val="334B6320"/>
    <w:rsid w:val="33522A31"/>
    <w:rsid w:val="33654FEE"/>
    <w:rsid w:val="336E54A1"/>
    <w:rsid w:val="339B3805"/>
    <w:rsid w:val="339F503F"/>
    <w:rsid w:val="33A00474"/>
    <w:rsid w:val="33A74B33"/>
    <w:rsid w:val="33AB6E58"/>
    <w:rsid w:val="33B24467"/>
    <w:rsid w:val="33B33182"/>
    <w:rsid w:val="33BD3C63"/>
    <w:rsid w:val="33C641F4"/>
    <w:rsid w:val="33D80AA4"/>
    <w:rsid w:val="33D934D4"/>
    <w:rsid w:val="33DC5CD3"/>
    <w:rsid w:val="33F53DEE"/>
    <w:rsid w:val="33F8120E"/>
    <w:rsid w:val="33FE2F6A"/>
    <w:rsid w:val="34076795"/>
    <w:rsid w:val="340E07E5"/>
    <w:rsid w:val="34235BF7"/>
    <w:rsid w:val="34436A18"/>
    <w:rsid w:val="344A2B14"/>
    <w:rsid w:val="34641AC9"/>
    <w:rsid w:val="34651AAF"/>
    <w:rsid w:val="34672228"/>
    <w:rsid w:val="34784F8C"/>
    <w:rsid w:val="3491662F"/>
    <w:rsid w:val="349D2F27"/>
    <w:rsid w:val="34BD32E6"/>
    <w:rsid w:val="34C13D8F"/>
    <w:rsid w:val="34CA5108"/>
    <w:rsid w:val="34EF3428"/>
    <w:rsid w:val="350A0459"/>
    <w:rsid w:val="351103CE"/>
    <w:rsid w:val="3511718E"/>
    <w:rsid w:val="352E0F43"/>
    <w:rsid w:val="35302D06"/>
    <w:rsid w:val="353A7529"/>
    <w:rsid w:val="353F430C"/>
    <w:rsid w:val="356E350E"/>
    <w:rsid w:val="35767D02"/>
    <w:rsid w:val="358B6DBD"/>
    <w:rsid w:val="358C5FA8"/>
    <w:rsid w:val="3598340C"/>
    <w:rsid w:val="35A41DB0"/>
    <w:rsid w:val="35A80AD2"/>
    <w:rsid w:val="35B439A1"/>
    <w:rsid w:val="35C15DF1"/>
    <w:rsid w:val="35CD34E9"/>
    <w:rsid w:val="35D40A1D"/>
    <w:rsid w:val="35E41E0C"/>
    <w:rsid w:val="35EC5060"/>
    <w:rsid w:val="36005968"/>
    <w:rsid w:val="36074A7F"/>
    <w:rsid w:val="360A255B"/>
    <w:rsid w:val="36137470"/>
    <w:rsid w:val="36227E10"/>
    <w:rsid w:val="3626141E"/>
    <w:rsid w:val="36356EAC"/>
    <w:rsid w:val="365466DC"/>
    <w:rsid w:val="368E50B4"/>
    <w:rsid w:val="36923549"/>
    <w:rsid w:val="36940140"/>
    <w:rsid w:val="36A51CFA"/>
    <w:rsid w:val="36B064CE"/>
    <w:rsid w:val="36B75FBF"/>
    <w:rsid w:val="36BD0C45"/>
    <w:rsid w:val="36F55DB4"/>
    <w:rsid w:val="36FD068C"/>
    <w:rsid w:val="36FF446F"/>
    <w:rsid w:val="370270D2"/>
    <w:rsid w:val="370F16D6"/>
    <w:rsid w:val="37184804"/>
    <w:rsid w:val="371B1C29"/>
    <w:rsid w:val="371E3396"/>
    <w:rsid w:val="372A1607"/>
    <w:rsid w:val="373021B1"/>
    <w:rsid w:val="373542EC"/>
    <w:rsid w:val="37381D02"/>
    <w:rsid w:val="37402048"/>
    <w:rsid w:val="374101FF"/>
    <w:rsid w:val="3745503F"/>
    <w:rsid w:val="3763035C"/>
    <w:rsid w:val="377A5760"/>
    <w:rsid w:val="37953EB2"/>
    <w:rsid w:val="379573E5"/>
    <w:rsid w:val="379B4192"/>
    <w:rsid w:val="379C3687"/>
    <w:rsid w:val="37B81B43"/>
    <w:rsid w:val="37BF2ED1"/>
    <w:rsid w:val="37D01583"/>
    <w:rsid w:val="37D02039"/>
    <w:rsid w:val="37D3697D"/>
    <w:rsid w:val="37DE5B28"/>
    <w:rsid w:val="37E00298"/>
    <w:rsid w:val="381034FD"/>
    <w:rsid w:val="381F7BCF"/>
    <w:rsid w:val="3827181C"/>
    <w:rsid w:val="383454B7"/>
    <w:rsid w:val="38600DD4"/>
    <w:rsid w:val="38741F0E"/>
    <w:rsid w:val="388365F5"/>
    <w:rsid w:val="38920377"/>
    <w:rsid w:val="38967F3E"/>
    <w:rsid w:val="38983188"/>
    <w:rsid w:val="38AA3B82"/>
    <w:rsid w:val="38B302F9"/>
    <w:rsid w:val="38B62526"/>
    <w:rsid w:val="38BA72C6"/>
    <w:rsid w:val="38C07907"/>
    <w:rsid w:val="38CC395C"/>
    <w:rsid w:val="38D94467"/>
    <w:rsid w:val="38F12CD3"/>
    <w:rsid w:val="38F94775"/>
    <w:rsid w:val="390342F5"/>
    <w:rsid w:val="3904728A"/>
    <w:rsid w:val="390D70F4"/>
    <w:rsid w:val="392971ED"/>
    <w:rsid w:val="392E5DB3"/>
    <w:rsid w:val="39325651"/>
    <w:rsid w:val="39417FDF"/>
    <w:rsid w:val="394A7B2B"/>
    <w:rsid w:val="395A07B4"/>
    <w:rsid w:val="3961013F"/>
    <w:rsid w:val="396A25E8"/>
    <w:rsid w:val="39A94AD5"/>
    <w:rsid w:val="39B654DF"/>
    <w:rsid w:val="39BE0603"/>
    <w:rsid w:val="39C4094E"/>
    <w:rsid w:val="39C44453"/>
    <w:rsid w:val="39D87235"/>
    <w:rsid w:val="39E41FB6"/>
    <w:rsid w:val="39FF7EFD"/>
    <w:rsid w:val="3A1E1018"/>
    <w:rsid w:val="3A1F5EA9"/>
    <w:rsid w:val="3A410516"/>
    <w:rsid w:val="3A5170B6"/>
    <w:rsid w:val="3A53021E"/>
    <w:rsid w:val="3A810912"/>
    <w:rsid w:val="3A872856"/>
    <w:rsid w:val="3A9C20A7"/>
    <w:rsid w:val="3AAD724A"/>
    <w:rsid w:val="3AB93296"/>
    <w:rsid w:val="3AD05B61"/>
    <w:rsid w:val="3AEF1411"/>
    <w:rsid w:val="3B082DE1"/>
    <w:rsid w:val="3B15796E"/>
    <w:rsid w:val="3B192DA3"/>
    <w:rsid w:val="3B24165D"/>
    <w:rsid w:val="3B3763D1"/>
    <w:rsid w:val="3B407964"/>
    <w:rsid w:val="3B655A3A"/>
    <w:rsid w:val="3B783B42"/>
    <w:rsid w:val="3B8A5211"/>
    <w:rsid w:val="3B921E2F"/>
    <w:rsid w:val="3BA3660A"/>
    <w:rsid w:val="3BAC4FF1"/>
    <w:rsid w:val="3BC75E7D"/>
    <w:rsid w:val="3BCF4753"/>
    <w:rsid w:val="3BE50D48"/>
    <w:rsid w:val="3BEE303B"/>
    <w:rsid w:val="3C0E7691"/>
    <w:rsid w:val="3C1C08F2"/>
    <w:rsid w:val="3C1E13AE"/>
    <w:rsid w:val="3C1F6C43"/>
    <w:rsid w:val="3C265C15"/>
    <w:rsid w:val="3C2F6E1E"/>
    <w:rsid w:val="3C4B67E3"/>
    <w:rsid w:val="3C4E0CC8"/>
    <w:rsid w:val="3C4F64BA"/>
    <w:rsid w:val="3C67068B"/>
    <w:rsid w:val="3C6912E3"/>
    <w:rsid w:val="3C6E3338"/>
    <w:rsid w:val="3C7E45C0"/>
    <w:rsid w:val="3C8B0765"/>
    <w:rsid w:val="3CA42737"/>
    <w:rsid w:val="3CA93B83"/>
    <w:rsid w:val="3CAB1F14"/>
    <w:rsid w:val="3CBA3AD2"/>
    <w:rsid w:val="3CC35EE5"/>
    <w:rsid w:val="3CC740CD"/>
    <w:rsid w:val="3CDA06DD"/>
    <w:rsid w:val="3CDA245A"/>
    <w:rsid w:val="3CDB07AE"/>
    <w:rsid w:val="3CF2179D"/>
    <w:rsid w:val="3D197651"/>
    <w:rsid w:val="3D1E06B7"/>
    <w:rsid w:val="3D2308B6"/>
    <w:rsid w:val="3D302F5D"/>
    <w:rsid w:val="3D3E651B"/>
    <w:rsid w:val="3D442DC7"/>
    <w:rsid w:val="3D662EB9"/>
    <w:rsid w:val="3D6F626D"/>
    <w:rsid w:val="3D8545CD"/>
    <w:rsid w:val="3D9F527F"/>
    <w:rsid w:val="3DAD5DC2"/>
    <w:rsid w:val="3DBE1DB5"/>
    <w:rsid w:val="3DC05072"/>
    <w:rsid w:val="3DC05237"/>
    <w:rsid w:val="3DC07CA7"/>
    <w:rsid w:val="3DDB4BD3"/>
    <w:rsid w:val="3DDF460E"/>
    <w:rsid w:val="3E035006"/>
    <w:rsid w:val="3E0470F9"/>
    <w:rsid w:val="3E0E69B5"/>
    <w:rsid w:val="3E290942"/>
    <w:rsid w:val="3E330175"/>
    <w:rsid w:val="3E3839DE"/>
    <w:rsid w:val="3E3C79D7"/>
    <w:rsid w:val="3E497999"/>
    <w:rsid w:val="3E502FCC"/>
    <w:rsid w:val="3E827432"/>
    <w:rsid w:val="3E8F4975"/>
    <w:rsid w:val="3EAF4ABF"/>
    <w:rsid w:val="3EBE5C37"/>
    <w:rsid w:val="3EBE60C3"/>
    <w:rsid w:val="3ECA3D98"/>
    <w:rsid w:val="3ECB4852"/>
    <w:rsid w:val="3EDA0523"/>
    <w:rsid w:val="3F0538C0"/>
    <w:rsid w:val="3F081602"/>
    <w:rsid w:val="3F2226C4"/>
    <w:rsid w:val="3F254448"/>
    <w:rsid w:val="3F2D2E17"/>
    <w:rsid w:val="3F3A0A88"/>
    <w:rsid w:val="3F3B26F7"/>
    <w:rsid w:val="3F4F5483"/>
    <w:rsid w:val="3F5D7BA0"/>
    <w:rsid w:val="3F687EE8"/>
    <w:rsid w:val="3F6F15E7"/>
    <w:rsid w:val="3F820442"/>
    <w:rsid w:val="3F984734"/>
    <w:rsid w:val="3FC403C6"/>
    <w:rsid w:val="3FC856FA"/>
    <w:rsid w:val="3FCE0156"/>
    <w:rsid w:val="3FD61106"/>
    <w:rsid w:val="3FF37BD7"/>
    <w:rsid w:val="3FF57CA7"/>
    <w:rsid w:val="3FFB1356"/>
    <w:rsid w:val="4001592B"/>
    <w:rsid w:val="400A3A3A"/>
    <w:rsid w:val="40114C52"/>
    <w:rsid w:val="401469D4"/>
    <w:rsid w:val="401534B8"/>
    <w:rsid w:val="401E7749"/>
    <w:rsid w:val="4022100C"/>
    <w:rsid w:val="40263C07"/>
    <w:rsid w:val="405100E3"/>
    <w:rsid w:val="405364BD"/>
    <w:rsid w:val="40646D0C"/>
    <w:rsid w:val="406A5242"/>
    <w:rsid w:val="40741291"/>
    <w:rsid w:val="407A6407"/>
    <w:rsid w:val="407E480C"/>
    <w:rsid w:val="408E3C58"/>
    <w:rsid w:val="40931576"/>
    <w:rsid w:val="40A32B51"/>
    <w:rsid w:val="40D47647"/>
    <w:rsid w:val="40E972FD"/>
    <w:rsid w:val="40F72F8C"/>
    <w:rsid w:val="410223B1"/>
    <w:rsid w:val="41110C42"/>
    <w:rsid w:val="41140DB3"/>
    <w:rsid w:val="41323B5F"/>
    <w:rsid w:val="41422591"/>
    <w:rsid w:val="414546A9"/>
    <w:rsid w:val="41462A3E"/>
    <w:rsid w:val="415D79D5"/>
    <w:rsid w:val="41651E84"/>
    <w:rsid w:val="41675EF4"/>
    <w:rsid w:val="417515D8"/>
    <w:rsid w:val="41A036F0"/>
    <w:rsid w:val="41A569CA"/>
    <w:rsid w:val="41B643F6"/>
    <w:rsid w:val="41BD2B78"/>
    <w:rsid w:val="41C13A7E"/>
    <w:rsid w:val="41C44AB6"/>
    <w:rsid w:val="41CE509C"/>
    <w:rsid w:val="41D028CD"/>
    <w:rsid w:val="41DE0A11"/>
    <w:rsid w:val="41E11534"/>
    <w:rsid w:val="41E57306"/>
    <w:rsid w:val="41E82AEC"/>
    <w:rsid w:val="41EC6E66"/>
    <w:rsid w:val="41FB36A0"/>
    <w:rsid w:val="4200449D"/>
    <w:rsid w:val="42075BA1"/>
    <w:rsid w:val="420B01EF"/>
    <w:rsid w:val="42160125"/>
    <w:rsid w:val="4229143D"/>
    <w:rsid w:val="422971C0"/>
    <w:rsid w:val="423A3BCC"/>
    <w:rsid w:val="42421CEF"/>
    <w:rsid w:val="424E57D2"/>
    <w:rsid w:val="427875DA"/>
    <w:rsid w:val="4282667D"/>
    <w:rsid w:val="428C0BB3"/>
    <w:rsid w:val="428E0E2F"/>
    <w:rsid w:val="429712A9"/>
    <w:rsid w:val="42A52DE6"/>
    <w:rsid w:val="42A6360C"/>
    <w:rsid w:val="42A81132"/>
    <w:rsid w:val="42B26C49"/>
    <w:rsid w:val="42C14AB2"/>
    <w:rsid w:val="42DA5063"/>
    <w:rsid w:val="42DC691D"/>
    <w:rsid w:val="42F969FA"/>
    <w:rsid w:val="4303030D"/>
    <w:rsid w:val="430527B3"/>
    <w:rsid w:val="431D3D50"/>
    <w:rsid w:val="431E352F"/>
    <w:rsid w:val="43232B1A"/>
    <w:rsid w:val="43291FA2"/>
    <w:rsid w:val="432D0CBB"/>
    <w:rsid w:val="433A6FE6"/>
    <w:rsid w:val="433E55F2"/>
    <w:rsid w:val="43413334"/>
    <w:rsid w:val="43422151"/>
    <w:rsid w:val="43480868"/>
    <w:rsid w:val="4350713C"/>
    <w:rsid w:val="436533AE"/>
    <w:rsid w:val="436653E0"/>
    <w:rsid w:val="43727323"/>
    <w:rsid w:val="437B03B1"/>
    <w:rsid w:val="43827918"/>
    <w:rsid w:val="438B11D9"/>
    <w:rsid w:val="438B57C1"/>
    <w:rsid w:val="43AD7396"/>
    <w:rsid w:val="43B86BE5"/>
    <w:rsid w:val="43C4431A"/>
    <w:rsid w:val="43CE2E1A"/>
    <w:rsid w:val="43E14C9B"/>
    <w:rsid w:val="43EA3605"/>
    <w:rsid w:val="43F35365"/>
    <w:rsid w:val="43F856DD"/>
    <w:rsid w:val="440318F4"/>
    <w:rsid w:val="440F184C"/>
    <w:rsid w:val="44175276"/>
    <w:rsid w:val="44231C3A"/>
    <w:rsid w:val="44304043"/>
    <w:rsid w:val="444B7040"/>
    <w:rsid w:val="445D7CFA"/>
    <w:rsid w:val="44654875"/>
    <w:rsid w:val="44661A8A"/>
    <w:rsid w:val="447B7530"/>
    <w:rsid w:val="44974807"/>
    <w:rsid w:val="44997CF7"/>
    <w:rsid w:val="44B71E57"/>
    <w:rsid w:val="44B951CC"/>
    <w:rsid w:val="44C92B65"/>
    <w:rsid w:val="44CD14E0"/>
    <w:rsid w:val="44DC50C3"/>
    <w:rsid w:val="44DF0C3C"/>
    <w:rsid w:val="44F20B0B"/>
    <w:rsid w:val="44F93EC7"/>
    <w:rsid w:val="45260A34"/>
    <w:rsid w:val="452E5F4C"/>
    <w:rsid w:val="45383FA5"/>
    <w:rsid w:val="453E0AEE"/>
    <w:rsid w:val="453E2590"/>
    <w:rsid w:val="45505208"/>
    <w:rsid w:val="455E5634"/>
    <w:rsid w:val="45612018"/>
    <w:rsid w:val="456504A4"/>
    <w:rsid w:val="45717F01"/>
    <w:rsid w:val="457F1EF2"/>
    <w:rsid w:val="45823149"/>
    <w:rsid w:val="458946E9"/>
    <w:rsid w:val="45A02594"/>
    <w:rsid w:val="45A47C0E"/>
    <w:rsid w:val="45AA0054"/>
    <w:rsid w:val="45AF695B"/>
    <w:rsid w:val="45BE094B"/>
    <w:rsid w:val="45CC3389"/>
    <w:rsid w:val="45FF624E"/>
    <w:rsid w:val="46167C1E"/>
    <w:rsid w:val="46577FD6"/>
    <w:rsid w:val="465D7132"/>
    <w:rsid w:val="46701BA1"/>
    <w:rsid w:val="46792CA4"/>
    <w:rsid w:val="467F21AA"/>
    <w:rsid w:val="46B93047"/>
    <w:rsid w:val="46D21CDA"/>
    <w:rsid w:val="46D955A7"/>
    <w:rsid w:val="46E42955"/>
    <w:rsid w:val="46E75FA1"/>
    <w:rsid w:val="46EB74DE"/>
    <w:rsid w:val="470E05EF"/>
    <w:rsid w:val="47131BFB"/>
    <w:rsid w:val="47133957"/>
    <w:rsid w:val="471A15BE"/>
    <w:rsid w:val="47274EA5"/>
    <w:rsid w:val="472F2E91"/>
    <w:rsid w:val="474563D7"/>
    <w:rsid w:val="474B77EF"/>
    <w:rsid w:val="474E6020"/>
    <w:rsid w:val="475201F8"/>
    <w:rsid w:val="47543B3F"/>
    <w:rsid w:val="476502F9"/>
    <w:rsid w:val="476872B5"/>
    <w:rsid w:val="477008B4"/>
    <w:rsid w:val="477261B2"/>
    <w:rsid w:val="4773679A"/>
    <w:rsid w:val="477E3F96"/>
    <w:rsid w:val="47983DB5"/>
    <w:rsid w:val="47A07E0C"/>
    <w:rsid w:val="47A62E32"/>
    <w:rsid w:val="47B113A9"/>
    <w:rsid w:val="47B32889"/>
    <w:rsid w:val="47B727F1"/>
    <w:rsid w:val="47E07C11"/>
    <w:rsid w:val="47F22AFA"/>
    <w:rsid w:val="47F33EA4"/>
    <w:rsid w:val="47FF0FD5"/>
    <w:rsid w:val="48255FEF"/>
    <w:rsid w:val="482A5A55"/>
    <w:rsid w:val="483376F0"/>
    <w:rsid w:val="48463F9C"/>
    <w:rsid w:val="484825CA"/>
    <w:rsid w:val="484E4DAF"/>
    <w:rsid w:val="485354CA"/>
    <w:rsid w:val="4854758B"/>
    <w:rsid w:val="485A1EB0"/>
    <w:rsid w:val="485F1E88"/>
    <w:rsid w:val="486A713C"/>
    <w:rsid w:val="486A76B5"/>
    <w:rsid w:val="486B315D"/>
    <w:rsid w:val="4870272E"/>
    <w:rsid w:val="48775E81"/>
    <w:rsid w:val="487B3D7F"/>
    <w:rsid w:val="48934641"/>
    <w:rsid w:val="48A873C1"/>
    <w:rsid w:val="48B0558F"/>
    <w:rsid w:val="48D00F18"/>
    <w:rsid w:val="48D06D52"/>
    <w:rsid w:val="48DA4F01"/>
    <w:rsid w:val="48DE2B21"/>
    <w:rsid w:val="48F14EB5"/>
    <w:rsid w:val="48F52BF7"/>
    <w:rsid w:val="4928269E"/>
    <w:rsid w:val="4939250D"/>
    <w:rsid w:val="49464E64"/>
    <w:rsid w:val="494F1EA1"/>
    <w:rsid w:val="494F3799"/>
    <w:rsid w:val="49560704"/>
    <w:rsid w:val="496B1123"/>
    <w:rsid w:val="496B2165"/>
    <w:rsid w:val="496B2EB9"/>
    <w:rsid w:val="496B37F4"/>
    <w:rsid w:val="496D4D42"/>
    <w:rsid w:val="49731D6E"/>
    <w:rsid w:val="497C7137"/>
    <w:rsid w:val="49910749"/>
    <w:rsid w:val="49921C66"/>
    <w:rsid w:val="49A95699"/>
    <w:rsid w:val="49B66A74"/>
    <w:rsid w:val="49C10D2B"/>
    <w:rsid w:val="49D94DEC"/>
    <w:rsid w:val="49DC7715"/>
    <w:rsid w:val="49EB5DA8"/>
    <w:rsid w:val="4A023139"/>
    <w:rsid w:val="4A0F3F0B"/>
    <w:rsid w:val="4A162E6E"/>
    <w:rsid w:val="4A1A28C9"/>
    <w:rsid w:val="4A1F2DDC"/>
    <w:rsid w:val="4A387D4B"/>
    <w:rsid w:val="4A3A409A"/>
    <w:rsid w:val="4A447617"/>
    <w:rsid w:val="4A4C14B1"/>
    <w:rsid w:val="4A613291"/>
    <w:rsid w:val="4A6878B7"/>
    <w:rsid w:val="4A6B434D"/>
    <w:rsid w:val="4A7B0A08"/>
    <w:rsid w:val="4A7B576F"/>
    <w:rsid w:val="4A8109C2"/>
    <w:rsid w:val="4A833453"/>
    <w:rsid w:val="4A9D43A3"/>
    <w:rsid w:val="4ABA7703"/>
    <w:rsid w:val="4ABB4EDA"/>
    <w:rsid w:val="4ABF170F"/>
    <w:rsid w:val="4ABF5A79"/>
    <w:rsid w:val="4AC56E8D"/>
    <w:rsid w:val="4ACC7EEA"/>
    <w:rsid w:val="4ACF424F"/>
    <w:rsid w:val="4ADF41EF"/>
    <w:rsid w:val="4AE52EEB"/>
    <w:rsid w:val="4AF561A9"/>
    <w:rsid w:val="4B0D3277"/>
    <w:rsid w:val="4B127EE0"/>
    <w:rsid w:val="4B385DFB"/>
    <w:rsid w:val="4B560D59"/>
    <w:rsid w:val="4B6202EC"/>
    <w:rsid w:val="4B862727"/>
    <w:rsid w:val="4B872E8D"/>
    <w:rsid w:val="4BA23734"/>
    <w:rsid w:val="4BCB40E3"/>
    <w:rsid w:val="4BE8259F"/>
    <w:rsid w:val="4BEF6655"/>
    <w:rsid w:val="4C000402"/>
    <w:rsid w:val="4C0249A2"/>
    <w:rsid w:val="4C06511B"/>
    <w:rsid w:val="4C0B6790"/>
    <w:rsid w:val="4C1E2465"/>
    <w:rsid w:val="4C323A37"/>
    <w:rsid w:val="4C4A0649"/>
    <w:rsid w:val="4C51739F"/>
    <w:rsid w:val="4C542134"/>
    <w:rsid w:val="4C552FDC"/>
    <w:rsid w:val="4C566E46"/>
    <w:rsid w:val="4C693F9A"/>
    <w:rsid w:val="4C7E5ECA"/>
    <w:rsid w:val="4C876AA5"/>
    <w:rsid w:val="4C8F78DD"/>
    <w:rsid w:val="4C93797B"/>
    <w:rsid w:val="4C9A7733"/>
    <w:rsid w:val="4CA426C4"/>
    <w:rsid w:val="4CA67833"/>
    <w:rsid w:val="4CAF7C2D"/>
    <w:rsid w:val="4CB04D21"/>
    <w:rsid w:val="4CB22BAD"/>
    <w:rsid w:val="4CD46FC7"/>
    <w:rsid w:val="4CD64F87"/>
    <w:rsid w:val="4CF64C11"/>
    <w:rsid w:val="4D084DEC"/>
    <w:rsid w:val="4D0E00FB"/>
    <w:rsid w:val="4D0E6C05"/>
    <w:rsid w:val="4D176606"/>
    <w:rsid w:val="4D301BE1"/>
    <w:rsid w:val="4D551EB6"/>
    <w:rsid w:val="4D567226"/>
    <w:rsid w:val="4D5715FE"/>
    <w:rsid w:val="4D856A25"/>
    <w:rsid w:val="4D87141E"/>
    <w:rsid w:val="4D882319"/>
    <w:rsid w:val="4D970721"/>
    <w:rsid w:val="4D9A599F"/>
    <w:rsid w:val="4D9D560B"/>
    <w:rsid w:val="4DA205D7"/>
    <w:rsid w:val="4DAE102F"/>
    <w:rsid w:val="4DB77818"/>
    <w:rsid w:val="4DD44D20"/>
    <w:rsid w:val="4DEC4FB0"/>
    <w:rsid w:val="4E000A34"/>
    <w:rsid w:val="4E075D8A"/>
    <w:rsid w:val="4E0B6A19"/>
    <w:rsid w:val="4E11562D"/>
    <w:rsid w:val="4E2B22EE"/>
    <w:rsid w:val="4E452BBE"/>
    <w:rsid w:val="4E4C3886"/>
    <w:rsid w:val="4E7D7917"/>
    <w:rsid w:val="4E86745A"/>
    <w:rsid w:val="4E8C354B"/>
    <w:rsid w:val="4E8E46E4"/>
    <w:rsid w:val="4EA36D5B"/>
    <w:rsid w:val="4EA912E7"/>
    <w:rsid w:val="4EAE5BAB"/>
    <w:rsid w:val="4EC00FAD"/>
    <w:rsid w:val="4EC340BE"/>
    <w:rsid w:val="4ED14027"/>
    <w:rsid w:val="4EDA05AC"/>
    <w:rsid w:val="4EE00834"/>
    <w:rsid w:val="4EF57312"/>
    <w:rsid w:val="4F0B14C0"/>
    <w:rsid w:val="4F1C6DE0"/>
    <w:rsid w:val="4F2F0144"/>
    <w:rsid w:val="4F343D4D"/>
    <w:rsid w:val="4F4E7D6C"/>
    <w:rsid w:val="4F54129E"/>
    <w:rsid w:val="4F5923EA"/>
    <w:rsid w:val="4F6B0084"/>
    <w:rsid w:val="4F6C0B7C"/>
    <w:rsid w:val="4F754A9A"/>
    <w:rsid w:val="4F7B7060"/>
    <w:rsid w:val="4F8C7069"/>
    <w:rsid w:val="4F8F671E"/>
    <w:rsid w:val="4F9843DC"/>
    <w:rsid w:val="4FB2172F"/>
    <w:rsid w:val="4FBB09F0"/>
    <w:rsid w:val="4FC357FD"/>
    <w:rsid w:val="4FC62A8C"/>
    <w:rsid w:val="4FD323E1"/>
    <w:rsid w:val="4FD776B5"/>
    <w:rsid w:val="4FE20F0D"/>
    <w:rsid w:val="4FE51552"/>
    <w:rsid w:val="4FF422E5"/>
    <w:rsid w:val="4FF44BC5"/>
    <w:rsid w:val="4FF52113"/>
    <w:rsid w:val="4FF534DD"/>
    <w:rsid w:val="4FFF6735"/>
    <w:rsid w:val="5007215A"/>
    <w:rsid w:val="502E69EF"/>
    <w:rsid w:val="50387495"/>
    <w:rsid w:val="50393A74"/>
    <w:rsid w:val="50394390"/>
    <w:rsid w:val="503C65EE"/>
    <w:rsid w:val="503F126A"/>
    <w:rsid w:val="50504C4B"/>
    <w:rsid w:val="50565056"/>
    <w:rsid w:val="50666188"/>
    <w:rsid w:val="50787958"/>
    <w:rsid w:val="50811214"/>
    <w:rsid w:val="50871C22"/>
    <w:rsid w:val="509C6E7C"/>
    <w:rsid w:val="50A85936"/>
    <w:rsid w:val="50B138A7"/>
    <w:rsid w:val="50B42439"/>
    <w:rsid w:val="50B60EBE"/>
    <w:rsid w:val="50D2381E"/>
    <w:rsid w:val="50DD7E13"/>
    <w:rsid w:val="50F25C50"/>
    <w:rsid w:val="50F6750C"/>
    <w:rsid w:val="51127988"/>
    <w:rsid w:val="5119769F"/>
    <w:rsid w:val="513D15DF"/>
    <w:rsid w:val="514C10FA"/>
    <w:rsid w:val="514E0864"/>
    <w:rsid w:val="5153495F"/>
    <w:rsid w:val="51600054"/>
    <w:rsid w:val="5160277E"/>
    <w:rsid w:val="5162104E"/>
    <w:rsid w:val="51743692"/>
    <w:rsid w:val="518B3284"/>
    <w:rsid w:val="51A614BF"/>
    <w:rsid w:val="51B34D01"/>
    <w:rsid w:val="51B36CC0"/>
    <w:rsid w:val="51B91E4A"/>
    <w:rsid w:val="51C662E0"/>
    <w:rsid w:val="51CE41DB"/>
    <w:rsid w:val="51CE72FF"/>
    <w:rsid w:val="5200235A"/>
    <w:rsid w:val="520B2EC5"/>
    <w:rsid w:val="52182775"/>
    <w:rsid w:val="521A547C"/>
    <w:rsid w:val="523F26F9"/>
    <w:rsid w:val="524070C7"/>
    <w:rsid w:val="52480EC5"/>
    <w:rsid w:val="5248507A"/>
    <w:rsid w:val="526112FD"/>
    <w:rsid w:val="526604A6"/>
    <w:rsid w:val="527903F5"/>
    <w:rsid w:val="52872285"/>
    <w:rsid w:val="528C1411"/>
    <w:rsid w:val="52995387"/>
    <w:rsid w:val="52B52A20"/>
    <w:rsid w:val="52BA7DEE"/>
    <w:rsid w:val="52F42171"/>
    <w:rsid w:val="531356F0"/>
    <w:rsid w:val="53296D78"/>
    <w:rsid w:val="532D0BB0"/>
    <w:rsid w:val="532F0CCF"/>
    <w:rsid w:val="5336669F"/>
    <w:rsid w:val="535A6768"/>
    <w:rsid w:val="536474A4"/>
    <w:rsid w:val="536A7E35"/>
    <w:rsid w:val="53734A39"/>
    <w:rsid w:val="53877386"/>
    <w:rsid w:val="538E12C3"/>
    <w:rsid w:val="53A039CC"/>
    <w:rsid w:val="53A1505A"/>
    <w:rsid w:val="53A3694E"/>
    <w:rsid w:val="53AA4091"/>
    <w:rsid w:val="53B4060C"/>
    <w:rsid w:val="53B510E7"/>
    <w:rsid w:val="53BB524E"/>
    <w:rsid w:val="53CA7242"/>
    <w:rsid w:val="53D43B97"/>
    <w:rsid w:val="53D77E49"/>
    <w:rsid w:val="53ED4B58"/>
    <w:rsid w:val="53F33B14"/>
    <w:rsid w:val="5406215C"/>
    <w:rsid w:val="54063E08"/>
    <w:rsid w:val="54162601"/>
    <w:rsid w:val="543437E8"/>
    <w:rsid w:val="545A7595"/>
    <w:rsid w:val="545C418A"/>
    <w:rsid w:val="54684193"/>
    <w:rsid w:val="5468773F"/>
    <w:rsid w:val="547A0C2C"/>
    <w:rsid w:val="5484540E"/>
    <w:rsid w:val="548F0074"/>
    <w:rsid w:val="549828F2"/>
    <w:rsid w:val="54C05A43"/>
    <w:rsid w:val="54C43C02"/>
    <w:rsid w:val="54C836AF"/>
    <w:rsid w:val="54CA58B6"/>
    <w:rsid w:val="54CB1875"/>
    <w:rsid w:val="54D1518C"/>
    <w:rsid w:val="54D20413"/>
    <w:rsid w:val="54F73313"/>
    <w:rsid w:val="54F80955"/>
    <w:rsid w:val="54FB7024"/>
    <w:rsid w:val="550230D1"/>
    <w:rsid w:val="5506128A"/>
    <w:rsid w:val="550734B2"/>
    <w:rsid w:val="55401CE6"/>
    <w:rsid w:val="554A7ADE"/>
    <w:rsid w:val="555170A7"/>
    <w:rsid w:val="55534D9F"/>
    <w:rsid w:val="556105C3"/>
    <w:rsid w:val="556803E9"/>
    <w:rsid w:val="5568472C"/>
    <w:rsid w:val="556A2277"/>
    <w:rsid w:val="556B6389"/>
    <w:rsid w:val="55715704"/>
    <w:rsid w:val="558071A1"/>
    <w:rsid w:val="5587536D"/>
    <w:rsid w:val="55922D92"/>
    <w:rsid w:val="55944FC0"/>
    <w:rsid w:val="559B174B"/>
    <w:rsid w:val="55A47ABD"/>
    <w:rsid w:val="55BD2CEE"/>
    <w:rsid w:val="55C976DA"/>
    <w:rsid w:val="55CE0CF4"/>
    <w:rsid w:val="55E27EC3"/>
    <w:rsid w:val="55E67393"/>
    <w:rsid w:val="55EB0644"/>
    <w:rsid w:val="55F31EB7"/>
    <w:rsid w:val="55F93A1B"/>
    <w:rsid w:val="56020701"/>
    <w:rsid w:val="56162220"/>
    <w:rsid w:val="562A3ADE"/>
    <w:rsid w:val="56421EC0"/>
    <w:rsid w:val="56554098"/>
    <w:rsid w:val="565B57CD"/>
    <w:rsid w:val="566A16BB"/>
    <w:rsid w:val="566C01E2"/>
    <w:rsid w:val="566F7200"/>
    <w:rsid w:val="567425C8"/>
    <w:rsid w:val="56791AEA"/>
    <w:rsid w:val="56876E58"/>
    <w:rsid w:val="56A91009"/>
    <w:rsid w:val="56B22A9C"/>
    <w:rsid w:val="56BA5480"/>
    <w:rsid w:val="56D52E20"/>
    <w:rsid w:val="56D54438"/>
    <w:rsid w:val="56EF2E1F"/>
    <w:rsid w:val="56F053D1"/>
    <w:rsid w:val="57145953"/>
    <w:rsid w:val="571D18F0"/>
    <w:rsid w:val="57233B99"/>
    <w:rsid w:val="573C533C"/>
    <w:rsid w:val="574D3BFE"/>
    <w:rsid w:val="57545990"/>
    <w:rsid w:val="575B7B6C"/>
    <w:rsid w:val="576D19D8"/>
    <w:rsid w:val="577076B6"/>
    <w:rsid w:val="577665E7"/>
    <w:rsid w:val="57835872"/>
    <w:rsid w:val="578D1B23"/>
    <w:rsid w:val="57905554"/>
    <w:rsid w:val="57B53852"/>
    <w:rsid w:val="57B72A76"/>
    <w:rsid w:val="57BE6928"/>
    <w:rsid w:val="57C3426C"/>
    <w:rsid w:val="57CE1F93"/>
    <w:rsid w:val="57D56238"/>
    <w:rsid w:val="57F10C0E"/>
    <w:rsid w:val="580B5F93"/>
    <w:rsid w:val="581265D6"/>
    <w:rsid w:val="58201313"/>
    <w:rsid w:val="58297F81"/>
    <w:rsid w:val="58315528"/>
    <w:rsid w:val="585D2567"/>
    <w:rsid w:val="587D0792"/>
    <w:rsid w:val="588743D1"/>
    <w:rsid w:val="5887701A"/>
    <w:rsid w:val="588C69A8"/>
    <w:rsid w:val="58984FEE"/>
    <w:rsid w:val="589C020A"/>
    <w:rsid w:val="58AD08B4"/>
    <w:rsid w:val="58B2378D"/>
    <w:rsid w:val="58B52AE8"/>
    <w:rsid w:val="58BF263D"/>
    <w:rsid w:val="58F663DA"/>
    <w:rsid w:val="5909104F"/>
    <w:rsid w:val="591B4311"/>
    <w:rsid w:val="5930613D"/>
    <w:rsid w:val="59344116"/>
    <w:rsid w:val="59350DEE"/>
    <w:rsid w:val="59352B9C"/>
    <w:rsid w:val="594729C9"/>
    <w:rsid w:val="5963595B"/>
    <w:rsid w:val="5981377E"/>
    <w:rsid w:val="59946115"/>
    <w:rsid w:val="59B04A3B"/>
    <w:rsid w:val="59BD6413"/>
    <w:rsid w:val="59C0439F"/>
    <w:rsid w:val="59C2270A"/>
    <w:rsid w:val="59C26B25"/>
    <w:rsid w:val="59D13695"/>
    <w:rsid w:val="59EF5441"/>
    <w:rsid w:val="59F20A8D"/>
    <w:rsid w:val="59FC34CA"/>
    <w:rsid w:val="5A030DF9"/>
    <w:rsid w:val="5A134667"/>
    <w:rsid w:val="5A1552ED"/>
    <w:rsid w:val="5A1B6236"/>
    <w:rsid w:val="5A1F5D26"/>
    <w:rsid w:val="5A2C30CE"/>
    <w:rsid w:val="5A3D144C"/>
    <w:rsid w:val="5A497C4F"/>
    <w:rsid w:val="5A4A4867"/>
    <w:rsid w:val="5A4E2167"/>
    <w:rsid w:val="5A527743"/>
    <w:rsid w:val="5A5534F6"/>
    <w:rsid w:val="5A672882"/>
    <w:rsid w:val="5A7616BE"/>
    <w:rsid w:val="5A7871E4"/>
    <w:rsid w:val="5A8B5169"/>
    <w:rsid w:val="5A9F4C03"/>
    <w:rsid w:val="5AAF425F"/>
    <w:rsid w:val="5AB212C1"/>
    <w:rsid w:val="5ABE2233"/>
    <w:rsid w:val="5ACD0EF5"/>
    <w:rsid w:val="5AD802BC"/>
    <w:rsid w:val="5AEB3E5A"/>
    <w:rsid w:val="5AEC1DEA"/>
    <w:rsid w:val="5AF02B4E"/>
    <w:rsid w:val="5B27738E"/>
    <w:rsid w:val="5B36344B"/>
    <w:rsid w:val="5B422873"/>
    <w:rsid w:val="5B6A3760"/>
    <w:rsid w:val="5B9E7DC3"/>
    <w:rsid w:val="5BA30291"/>
    <w:rsid w:val="5BB83DC6"/>
    <w:rsid w:val="5BBE331C"/>
    <w:rsid w:val="5BD871DB"/>
    <w:rsid w:val="5BDF5D95"/>
    <w:rsid w:val="5BE54B0D"/>
    <w:rsid w:val="5BE67988"/>
    <w:rsid w:val="5BF2247E"/>
    <w:rsid w:val="5BFE7528"/>
    <w:rsid w:val="5C03742A"/>
    <w:rsid w:val="5C062491"/>
    <w:rsid w:val="5C0B6C2B"/>
    <w:rsid w:val="5C2F5890"/>
    <w:rsid w:val="5C314C9C"/>
    <w:rsid w:val="5C3F26AF"/>
    <w:rsid w:val="5C44338D"/>
    <w:rsid w:val="5C463981"/>
    <w:rsid w:val="5C571E98"/>
    <w:rsid w:val="5C6D5972"/>
    <w:rsid w:val="5C736D57"/>
    <w:rsid w:val="5CA3554E"/>
    <w:rsid w:val="5CA532D9"/>
    <w:rsid w:val="5CB95CE0"/>
    <w:rsid w:val="5CD1185B"/>
    <w:rsid w:val="5CD5598A"/>
    <w:rsid w:val="5CDD3C76"/>
    <w:rsid w:val="5CE24CCA"/>
    <w:rsid w:val="5CE74E4A"/>
    <w:rsid w:val="5CEB64FA"/>
    <w:rsid w:val="5CFD1C22"/>
    <w:rsid w:val="5D205317"/>
    <w:rsid w:val="5D231DDF"/>
    <w:rsid w:val="5D4B6E32"/>
    <w:rsid w:val="5D5B7E1C"/>
    <w:rsid w:val="5D5E0913"/>
    <w:rsid w:val="5D5F4D08"/>
    <w:rsid w:val="5D664C65"/>
    <w:rsid w:val="5D6A1689"/>
    <w:rsid w:val="5D740EAE"/>
    <w:rsid w:val="5D773B80"/>
    <w:rsid w:val="5D7C6B22"/>
    <w:rsid w:val="5D863652"/>
    <w:rsid w:val="5DA33A18"/>
    <w:rsid w:val="5DA532CF"/>
    <w:rsid w:val="5DAE61D8"/>
    <w:rsid w:val="5DB817DB"/>
    <w:rsid w:val="5DF43025"/>
    <w:rsid w:val="5DF9688E"/>
    <w:rsid w:val="5E0D401D"/>
    <w:rsid w:val="5E184EE4"/>
    <w:rsid w:val="5E1B0E5A"/>
    <w:rsid w:val="5E2467F1"/>
    <w:rsid w:val="5E2949B6"/>
    <w:rsid w:val="5E2D3092"/>
    <w:rsid w:val="5E2D4789"/>
    <w:rsid w:val="5E43047A"/>
    <w:rsid w:val="5E45699F"/>
    <w:rsid w:val="5E524FF5"/>
    <w:rsid w:val="5E7D1C16"/>
    <w:rsid w:val="5E7D650A"/>
    <w:rsid w:val="5E9D0FA2"/>
    <w:rsid w:val="5EC30F6F"/>
    <w:rsid w:val="5EC440C7"/>
    <w:rsid w:val="5ED162EA"/>
    <w:rsid w:val="5EDF1887"/>
    <w:rsid w:val="5EF37781"/>
    <w:rsid w:val="5F006597"/>
    <w:rsid w:val="5F13572D"/>
    <w:rsid w:val="5F1A2B43"/>
    <w:rsid w:val="5F1D784B"/>
    <w:rsid w:val="5F27370E"/>
    <w:rsid w:val="5F3B29FA"/>
    <w:rsid w:val="5F3C4F00"/>
    <w:rsid w:val="5F5629D9"/>
    <w:rsid w:val="5F8A3B55"/>
    <w:rsid w:val="5F8E4ECA"/>
    <w:rsid w:val="5F955645"/>
    <w:rsid w:val="5FA36401"/>
    <w:rsid w:val="5FAF53CC"/>
    <w:rsid w:val="5FB6084D"/>
    <w:rsid w:val="5FB837BB"/>
    <w:rsid w:val="5FCD03B4"/>
    <w:rsid w:val="601551CD"/>
    <w:rsid w:val="601E2E22"/>
    <w:rsid w:val="602F6597"/>
    <w:rsid w:val="60854874"/>
    <w:rsid w:val="608C4857"/>
    <w:rsid w:val="60A22D76"/>
    <w:rsid w:val="60A73845"/>
    <w:rsid w:val="60CC405A"/>
    <w:rsid w:val="60EA48E1"/>
    <w:rsid w:val="610960A7"/>
    <w:rsid w:val="610A2B60"/>
    <w:rsid w:val="610B1BFE"/>
    <w:rsid w:val="611306FE"/>
    <w:rsid w:val="611C2257"/>
    <w:rsid w:val="612A79C5"/>
    <w:rsid w:val="612C2C2C"/>
    <w:rsid w:val="614640B7"/>
    <w:rsid w:val="61640AE7"/>
    <w:rsid w:val="616D46BA"/>
    <w:rsid w:val="616E223D"/>
    <w:rsid w:val="61851AD8"/>
    <w:rsid w:val="618773FE"/>
    <w:rsid w:val="61C44F6A"/>
    <w:rsid w:val="61C81D0A"/>
    <w:rsid w:val="61C827FF"/>
    <w:rsid w:val="61D251DF"/>
    <w:rsid w:val="61D81D7A"/>
    <w:rsid w:val="61E215D8"/>
    <w:rsid w:val="61E82761"/>
    <w:rsid w:val="61E86ECA"/>
    <w:rsid w:val="61EC4C1B"/>
    <w:rsid w:val="61F3472C"/>
    <w:rsid w:val="62034449"/>
    <w:rsid w:val="62061233"/>
    <w:rsid w:val="620A733A"/>
    <w:rsid w:val="621229DF"/>
    <w:rsid w:val="621B3775"/>
    <w:rsid w:val="621C4CC2"/>
    <w:rsid w:val="62364782"/>
    <w:rsid w:val="623937F7"/>
    <w:rsid w:val="6242012B"/>
    <w:rsid w:val="625B180A"/>
    <w:rsid w:val="628B7C2E"/>
    <w:rsid w:val="628F00BA"/>
    <w:rsid w:val="62947D7E"/>
    <w:rsid w:val="629923ED"/>
    <w:rsid w:val="62A94CC3"/>
    <w:rsid w:val="62B60CD4"/>
    <w:rsid w:val="62B9304F"/>
    <w:rsid w:val="62BB2C98"/>
    <w:rsid w:val="62BF7AFC"/>
    <w:rsid w:val="62C468F8"/>
    <w:rsid w:val="62CD3AC9"/>
    <w:rsid w:val="630325A7"/>
    <w:rsid w:val="63041883"/>
    <w:rsid w:val="630E0949"/>
    <w:rsid w:val="632715DE"/>
    <w:rsid w:val="6339449A"/>
    <w:rsid w:val="633D6AEB"/>
    <w:rsid w:val="63400ABB"/>
    <w:rsid w:val="634D7898"/>
    <w:rsid w:val="63604CB9"/>
    <w:rsid w:val="636539D2"/>
    <w:rsid w:val="63880385"/>
    <w:rsid w:val="6394356A"/>
    <w:rsid w:val="639B5EF1"/>
    <w:rsid w:val="63AA6EE1"/>
    <w:rsid w:val="63B10428"/>
    <w:rsid w:val="63BA6ABF"/>
    <w:rsid w:val="63C43919"/>
    <w:rsid w:val="63C57D5E"/>
    <w:rsid w:val="63C61B2C"/>
    <w:rsid w:val="63C70B45"/>
    <w:rsid w:val="63C913E5"/>
    <w:rsid w:val="63D40BE9"/>
    <w:rsid w:val="63D56649"/>
    <w:rsid w:val="63DA163F"/>
    <w:rsid w:val="63E757C7"/>
    <w:rsid w:val="64102431"/>
    <w:rsid w:val="64127E15"/>
    <w:rsid w:val="642D56F7"/>
    <w:rsid w:val="642D69C8"/>
    <w:rsid w:val="6433638C"/>
    <w:rsid w:val="643B7C00"/>
    <w:rsid w:val="644675C7"/>
    <w:rsid w:val="644B5969"/>
    <w:rsid w:val="646313E2"/>
    <w:rsid w:val="64715E27"/>
    <w:rsid w:val="647567F7"/>
    <w:rsid w:val="64817E3D"/>
    <w:rsid w:val="648273DA"/>
    <w:rsid w:val="6498301C"/>
    <w:rsid w:val="64A5243A"/>
    <w:rsid w:val="64B6647A"/>
    <w:rsid w:val="64CD1CA4"/>
    <w:rsid w:val="64F0692C"/>
    <w:rsid w:val="64F531DE"/>
    <w:rsid w:val="64FD4B95"/>
    <w:rsid w:val="650405A4"/>
    <w:rsid w:val="651E66AF"/>
    <w:rsid w:val="651F6B52"/>
    <w:rsid w:val="652B18D9"/>
    <w:rsid w:val="652F060C"/>
    <w:rsid w:val="653463FD"/>
    <w:rsid w:val="65373578"/>
    <w:rsid w:val="65400CE0"/>
    <w:rsid w:val="654577BD"/>
    <w:rsid w:val="65495697"/>
    <w:rsid w:val="654F3443"/>
    <w:rsid w:val="655759C9"/>
    <w:rsid w:val="65660CAD"/>
    <w:rsid w:val="65664DD2"/>
    <w:rsid w:val="65752FD4"/>
    <w:rsid w:val="65784718"/>
    <w:rsid w:val="657B6664"/>
    <w:rsid w:val="658D6624"/>
    <w:rsid w:val="65AA0A02"/>
    <w:rsid w:val="65C92FEA"/>
    <w:rsid w:val="65CB5763"/>
    <w:rsid w:val="65D77FC6"/>
    <w:rsid w:val="65E63B9C"/>
    <w:rsid w:val="65EB7974"/>
    <w:rsid w:val="66011E25"/>
    <w:rsid w:val="66056D77"/>
    <w:rsid w:val="66097AB2"/>
    <w:rsid w:val="661177B4"/>
    <w:rsid w:val="662B0C58"/>
    <w:rsid w:val="66402F10"/>
    <w:rsid w:val="66611B6E"/>
    <w:rsid w:val="66664CDC"/>
    <w:rsid w:val="66670ED9"/>
    <w:rsid w:val="668372A2"/>
    <w:rsid w:val="669E7FD2"/>
    <w:rsid w:val="66A1483B"/>
    <w:rsid w:val="66AF3726"/>
    <w:rsid w:val="66B15F58"/>
    <w:rsid w:val="66B92651"/>
    <w:rsid w:val="66B9509F"/>
    <w:rsid w:val="66C31220"/>
    <w:rsid w:val="66D01375"/>
    <w:rsid w:val="66DA7F8C"/>
    <w:rsid w:val="66F35AF0"/>
    <w:rsid w:val="66F916AD"/>
    <w:rsid w:val="66FA4EF5"/>
    <w:rsid w:val="670D6F06"/>
    <w:rsid w:val="67112E9A"/>
    <w:rsid w:val="6716324E"/>
    <w:rsid w:val="67177DC2"/>
    <w:rsid w:val="671B2ED3"/>
    <w:rsid w:val="671D5B33"/>
    <w:rsid w:val="671F124A"/>
    <w:rsid w:val="67407898"/>
    <w:rsid w:val="675B7F50"/>
    <w:rsid w:val="675D3311"/>
    <w:rsid w:val="67696B04"/>
    <w:rsid w:val="676B3BCF"/>
    <w:rsid w:val="677A33C6"/>
    <w:rsid w:val="678445A6"/>
    <w:rsid w:val="67D50B1C"/>
    <w:rsid w:val="67DC4CFB"/>
    <w:rsid w:val="67E2087E"/>
    <w:rsid w:val="67FB3202"/>
    <w:rsid w:val="681F6961"/>
    <w:rsid w:val="684E0B88"/>
    <w:rsid w:val="68522A3E"/>
    <w:rsid w:val="68610A2F"/>
    <w:rsid w:val="68721F4E"/>
    <w:rsid w:val="687D3F29"/>
    <w:rsid w:val="68805514"/>
    <w:rsid w:val="688240EA"/>
    <w:rsid w:val="68900D77"/>
    <w:rsid w:val="68985293"/>
    <w:rsid w:val="689D3AA0"/>
    <w:rsid w:val="68A1024E"/>
    <w:rsid w:val="68AE57D3"/>
    <w:rsid w:val="68B2120D"/>
    <w:rsid w:val="68C74730"/>
    <w:rsid w:val="68EE5593"/>
    <w:rsid w:val="68FD36D6"/>
    <w:rsid w:val="69032B47"/>
    <w:rsid w:val="69053994"/>
    <w:rsid w:val="691F15AB"/>
    <w:rsid w:val="69316E2F"/>
    <w:rsid w:val="69387D3A"/>
    <w:rsid w:val="693D530D"/>
    <w:rsid w:val="69410F08"/>
    <w:rsid w:val="694210C3"/>
    <w:rsid w:val="694E2071"/>
    <w:rsid w:val="695232F6"/>
    <w:rsid w:val="69567C43"/>
    <w:rsid w:val="69641E2A"/>
    <w:rsid w:val="69746EB7"/>
    <w:rsid w:val="69766163"/>
    <w:rsid w:val="697A3B33"/>
    <w:rsid w:val="69926AA7"/>
    <w:rsid w:val="699D500E"/>
    <w:rsid w:val="69AD785E"/>
    <w:rsid w:val="69AE677E"/>
    <w:rsid w:val="69C13D46"/>
    <w:rsid w:val="69CE0BCF"/>
    <w:rsid w:val="69D16911"/>
    <w:rsid w:val="69D44760"/>
    <w:rsid w:val="69E367A6"/>
    <w:rsid w:val="69EC4426"/>
    <w:rsid w:val="69F92903"/>
    <w:rsid w:val="69FF5CC1"/>
    <w:rsid w:val="6A004944"/>
    <w:rsid w:val="6A095066"/>
    <w:rsid w:val="6A105313"/>
    <w:rsid w:val="6A164324"/>
    <w:rsid w:val="6A176AA1"/>
    <w:rsid w:val="6A270D2E"/>
    <w:rsid w:val="6A31115D"/>
    <w:rsid w:val="6A316BCD"/>
    <w:rsid w:val="6A350C4E"/>
    <w:rsid w:val="6A3C33E0"/>
    <w:rsid w:val="6A520EC7"/>
    <w:rsid w:val="6A6102F4"/>
    <w:rsid w:val="6A731A96"/>
    <w:rsid w:val="6A732A67"/>
    <w:rsid w:val="6A79342B"/>
    <w:rsid w:val="6A90796C"/>
    <w:rsid w:val="6A9431D7"/>
    <w:rsid w:val="6A9C2F8B"/>
    <w:rsid w:val="6AA87097"/>
    <w:rsid w:val="6AAC4708"/>
    <w:rsid w:val="6AAF4AA0"/>
    <w:rsid w:val="6AB02504"/>
    <w:rsid w:val="6AB53B3C"/>
    <w:rsid w:val="6AB73D26"/>
    <w:rsid w:val="6AC04D90"/>
    <w:rsid w:val="6AD82397"/>
    <w:rsid w:val="6AE14007"/>
    <w:rsid w:val="6AF26B3F"/>
    <w:rsid w:val="6AF87E20"/>
    <w:rsid w:val="6AFA4396"/>
    <w:rsid w:val="6B0F149F"/>
    <w:rsid w:val="6B2511E9"/>
    <w:rsid w:val="6B252425"/>
    <w:rsid w:val="6B257793"/>
    <w:rsid w:val="6B322639"/>
    <w:rsid w:val="6B427AC6"/>
    <w:rsid w:val="6B4541AB"/>
    <w:rsid w:val="6B4748BE"/>
    <w:rsid w:val="6B6A7A15"/>
    <w:rsid w:val="6B754DD8"/>
    <w:rsid w:val="6B76088C"/>
    <w:rsid w:val="6B8E3412"/>
    <w:rsid w:val="6B940BF0"/>
    <w:rsid w:val="6B9515F3"/>
    <w:rsid w:val="6B981878"/>
    <w:rsid w:val="6BAD566C"/>
    <w:rsid w:val="6BAE4F58"/>
    <w:rsid w:val="6BBE11D9"/>
    <w:rsid w:val="6BBF06AB"/>
    <w:rsid w:val="6BC32DA0"/>
    <w:rsid w:val="6BC70B3B"/>
    <w:rsid w:val="6BCD7DA6"/>
    <w:rsid w:val="6BCE05CB"/>
    <w:rsid w:val="6BCF2C01"/>
    <w:rsid w:val="6BD72913"/>
    <w:rsid w:val="6BEC0B5F"/>
    <w:rsid w:val="6BF608B1"/>
    <w:rsid w:val="6C07661A"/>
    <w:rsid w:val="6C341A58"/>
    <w:rsid w:val="6C387DFC"/>
    <w:rsid w:val="6C583A23"/>
    <w:rsid w:val="6C636C38"/>
    <w:rsid w:val="6C6D3E6D"/>
    <w:rsid w:val="6C705F6D"/>
    <w:rsid w:val="6C7A46EB"/>
    <w:rsid w:val="6C820124"/>
    <w:rsid w:val="6C902414"/>
    <w:rsid w:val="6CB57C18"/>
    <w:rsid w:val="6CC462B9"/>
    <w:rsid w:val="6CF41704"/>
    <w:rsid w:val="6D0806FB"/>
    <w:rsid w:val="6D1C6E01"/>
    <w:rsid w:val="6D2F5E28"/>
    <w:rsid w:val="6D2F79E6"/>
    <w:rsid w:val="6D3B7D7F"/>
    <w:rsid w:val="6D4B2437"/>
    <w:rsid w:val="6D55010E"/>
    <w:rsid w:val="6D562F62"/>
    <w:rsid w:val="6D594EFC"/>
    <w:rsid w:val="6D5B4B99"/>
    <w:rsid w:val="6D5C27BB"/>
    <w:rsid w:val="6D6F1A23"/>
    <w:rsid w:val="6D754F28"/>
    <w:rsid w:val="6DA51214"/>
    <w:rsid w:val="6DB34098"/>
    <w:rsid w:val="6DB545B6"/>
    <w:rsid w:val="6DBB2AE7"/>
    <w:rsid w:val="6DDC5608"/>
    <w:rsid w:val="6DE02FB4"/>
    <w:rsid w:val="6DE82204"/>
    <w:rsid w:val="6E00693F"/>
    <w:rsid w:val="6E0F037D"/>
    <w:rsid w:val="6E153270"/>
    <w:rsid w:val="6E153FB5"/>
    <w:rsid w:val="6E1F5E9D"/>
    <w:rsid w:val="6E361438"/>
    <w:rsid w:val="6E3D4575"/>
    <w:rsid w:val="6E4461B4"/>
    <w:rsid w:val="6E47284E"/>
    <w:rsid w:val="6E514CED"/>
    <w:rsid w:val="6E8B3153"/>
    <w:rsid w:val="6E8C1058"/>
    <w:rsid w:val="6E8E6B7E"/>
    <w:rsid w:val="6E9F297C"/>
    <w:rsid w:val="6EA71004"/>
    <w:rsid w:val="6EB011EB"/>
    <w:rsid w:val="6EB13F1A"/>
    <w:rsid w:val="6EB563D5"/>
    <w:rsid w:val="6EB862D1"/>
    <w:rsid w:val="6EB90630"/>
    <w:rsid w:val="6EC73EBC"/>
    <w:rsid w:val="6ED44466"/>
    <w:rsid w:val="6ED92677"/>
    <w:rsid w:val="6EFD107C"/>
    <w:rsid w:val="6F225983"/>
    <w:rsid w:val="6F2278C5"/>
    <w:rsid w:val="6F2F5F3C"/>
    <w:rsid w:val="6F375620"/>
    <w:rsid w:val="6F3B67AB"/>
    <w:rsid w:val="6F4034AA"/>
    <w:rsid w:val="6F433E0D"/>
    <w:rsid w:val="6F4A36C6"/>
    <w:rsid w:val="6F532A2C"/>
    <w:rsid w:val="6F55769C"/>
    <w:rsid w:val="6F6049BF"/>
    <w:rsid w:val="6F7B1BA8"/>
    <w:rsid w:val="6F9957DB"/>
    <w:rsid w:val="6FA22B78"/>
    <w:rsid w:val="6FA50623"/>
    <w:rsid w:val="6FAD0852"/>
    <w:rsid w:val="6FC81710"/>
    <w:rsid w:val="6FCC14B5"/>
    <w:rsid w:val="6FF64A6C"/>
    <w:rsid w:val="6FFC5590"/>
    <w:rsid w:val="701A34CA"/>
    <w:rsid w:val="701E606E"/>
    <w:rsid w:val="702D46D3"/>
    <w:rsid w:val="705F1D4E"/>
    <w:rsid w:val="705F66D0"/>
    <w:rsid w:val="706D1DD0"/>
    <w:rsid w:val="70856B87"/>
    <w:rsid w:val="708B3C89"/>
    <w:rsid w:val="708E4FF5"/>
    <w:rsid w:val="70930B83"/>
    <w:rsid w:val="70983D46"/>
    <w:rsid w:val="709C6494"/>
    <w:rsid w:val="70A126C9"/>
    <w:rsid w:val="70B82BF7"/>
    <w:rsid w:val="70C20D61"/>
    <w:rsid w:val="70D527EE"/>
    <w:rsid w:val="70D8325D"/>
    <w:rsid w:val="70E14BC4"/>
    <w:rsid w:val="70E735F1"/>
    <w:rsid w:val="70E754F0"/>
    <w:rsid w:val="70F311EF"/>
    <w:rsid w:val="70F34B97"/>
    <w:rsid w:val="70F53102"/>
    <w:rsid w:val="70FE0A19"/>
    <w:rsid w:val="7105409D"/>
    <w:rsid w:val="71540E77"/>
    <w:rsid w:val="715B5300"/>
    <w:rsid w:val="716D5171"/>
    <w:rsid w:val="71886A96"/>
    <w:rsid w:val="719549B4"/>
    <w:rsid w:val="719721EE"/>
    <w:rsid w:val="71A80DCB"/>
    <w:rsid w:val="71D27F8A"/>
    <w:rsid w:val="72110D45"/>
    <w:rsid w:val="722325BF"/>
    <w:rsid w:val="72252C36"/>
    <w:rsid w:val="722C0B88"/>
    <w:rsid w:val="72331F17"/>
    <w:rsid w:val="72353EA0"/>
    <w:rsid w:val="72386736"/>
    <w:rsid w:val="723B29EC"/>
    <w:rsid w:val="72553024"/>
    <w:rsid w:val="72606251"/>
    <w:rsid w:val="726600A5"/>
    <w:rsid w:val="728E7B4B"/>
    <w:rsid w:val="72AF6657"/>
    <w:rsid w:val="72C25CBE"/>
    <w:rsid w:val="72E74AAF"/>
    <w:rsid w:val="730C678A"/>
    <w:rsid w:val="73122968"/>
    <w:rsid w:val="731F5D5E"/>
    <w:rsid w:val="7349576A"/>
    <w:rsid w:val="734F177D"/>
    <w:rsid w:val="73516CA9"/>
    <w:rsid w:val="73597F73"/>
    <w:rsid w:val="735D48C0"/>
    <w:rsid w:val="73664D9C"/>
    <w:rsid w:val="73671B42"/>
    <w:rsid w:val="737150A3"/>
    <w:rsid w:val="737A1DC7"/>
    <w:rsid w:val="737C2D3B"/>
    <w:rsid w:val="73816CB2"/>
    <w:rsid w:val="739629B5"/>
    <w:rsid w:val="73A5760C"/>
    <w:rsid w:val="73A82490"/>
    <w:rsid w:val="73AA02E6"/>
    <w:rsid w:val="73C51AD5"/>
    <w:rsid w:val="73CB617F"/>
    <w:rsid w:val="73E9640D"/>
    <w:rsid w:val="73EC1A6B"/>
    <w:rsid w:val="74004A04"/>
    <w:rsid w:val="7407365B"/>
    <w:rsid w:val="7416564C"/>
    <w:rsid w:val="741713C4"/>
    <w:rsid w:val="741E793C"/>
    <w:rsid w:val="742901AA"/>
    <w:rsid w:val="742C2519"/>
    <w:rsid w:val="743F1A77"/>
    <w:rsid w:val="745E3944"/>
    <w:rsid w:val="748A75CC"/>
    <w:rsid w:val="74A4534E"/>
    <w:rsid w:val="74C63724"/>
    <w:rsid w:val="74DA2B1D"/>
    <w:rsid w:val="75037E1D"/>
    <w:rsid w:val="75182DF1"/>
    <w:rsid w:val="75212AB1"/>
    <w:rsid w:val="752B15CB"/>
    <w:rsid w:val="754C39F6"/>
    <w:rsid w:val="754E66A1"/>
    <w:rsid w:val="755328D0"/>
    <w:rsid w:val="75535A77"/>
    <w:rsid w:val="75976C60"/>
    <w:rsid w:val="759D226F"/>
    <w:rsid w:val="759E1D9D"/>
    <w:rsid w:val="75AA04E2"/>
    <w:rsid w:val="75C147F0"/>
    <w:rsid w:val="75C95F9F"/>
    <w:rsid w:val="75E34125"/>
    <w:rsid w:val="75E909D8"/>
    <w:rsid w:val="75F46894"/>
    <w:rsid w:val="75F83FC4"/>
    <w:rsid w:val="75FB3ACB"/>
    <w:rsid w:val="760A4D09"/>
    <w:rsid w:val="7635099D"/>
    <w:rsid w:val="76412850"/>
    <w:rsid w:val="76591BEE"/>
    <w:rsid w:val="766E5C13"/>
    <w:rsid w:val="767825EE"/>
    <w:rsid w:val="768C16C3"/>
    <w:rsid w:val="76966F18"/>
    <w:rsid w:val="76A35191"/>
    <w:rsid w:val="76AF1D88"/>
    <w:rsid w:val="76B14BC7"/>
    <w:rsid w:val="76C82187"/>
    <w:rsid w:val="76D637B8"/>
    <w:rsid w:val="76E9529A"/>
    <w:rsid w:val="770C683F"/>
    <w:rsid w:val="772D2003"/>
    <w:rsid w:val="77345247"/>
    <w:rsid w:val="77416534"/>
    <w:rsid w:val="774723A6"/>
    <w:rsid w:val="77513D8B"/>
    <w:rsid w:val="775C3CBE"/>
    <w:rsid w:val="77762421"/>
    <w:rsid w:val="777765F2"/>
    <w:rsid w:val="77A24A91"/>
    <w:rsid w:val="77A4016A"/>
    <w:rsid w:val="77A94F80"/>
    <w:rsid w:val="77B56B1F"/>
    <w:rsid w:val="77D479E9"/>
    <w:rsid w:val="77F94DC5"/>
    <w:rsid w:val="780462CC"/>
    <w:rsid w:val="780D4890"/>
    <w:rsid w:val="780F09F4"/>
    <w:rsid w:val="78320EC2"/>
    <w:rsid w:val="783460E4"/>
    <w:rsid w:val="78356986"/>
    <w:rsid w:val="78363509"/>
    <w:rsid w:val="784D1D42"/>
    <w:rsid w:val="786372CE"/>
    <w:rsid w:val="787D2432"/>
    <w:rsid w:val="78904B46"/>
    <w:rsid w:val="78921F38"/>
    <w:rsid w:val="789227C4"/>
    <w:rsid w:val="78A90480"/>
    <w:rsid w:val="78B52291"/>
    <w:rsid w:val="78D6184E"/>
    <w:rsid w:val="78D83818"/>
    <w:rsid w:val="78E62E37"/>
    <w:rsid w:val="78ED3EEE"/>
    <w:rsid w:val="78FE2B52"/>
    <w:rsid w:val="78FF1F8C"/>
    <w:rsid w:val="79055C6B"/>
    <w:rsid w:val="790C52F8"/>
    <w:rsid w:val="79167E9C"/>
    <w:rsid w:val="791D0EAF"/>
    <w:rsid w:val="791F1474"/>
    <w:rsid w:val="792F0A26"/>
    <w:rsid w:val="792F0F5E"/>
    <w:rsid w:val="794EEB56"/>
    <w:rsid w:val="795132CE"/>
    <w:rsid w:val="79565D1A"/>
    <w:rsid w:val="79597A80"/>
    <w:rsid w:val="79682C24"/>
    <w:rsid w:val="79687E1D"/>
    <w:rsid w:val="7969472C"/>
    <w:rsid w:val="79821EEA"/>
    <w:rsid w:val="79937960"/>
    <w:rsid w:val="7998674F"/>
    <w:rsid w:val="79CC49FF"/>
    <w:rsid w:val="79F37DD5"/>
    <w:rsid w:val="7A097A01"/>
    <w:rsid w:val="7A0E55E5"/>
    <w:rsid w:val="7A1F68D8"/>
    <w:rsid w:val="7A330A98"/>
    <w:rsid w:val="7A364017"/>
    <w:rsid w:val="7A3C427B"/>
    <w:rsid w:val="7A426D29"/>
    <w:rsid w:val="7A4F1143"/>
    <w:rsid w:val="7A4F5ABA"/>
    <w:rsid w:val="7A536490"/>
    <w:rsid w:val="7A54207C"/>
    <w:rsid w:val="7A642534"/>
    <w:rsid w:val="7A8265E1"/>
    <w:rsid w:val="7AAD21FD"/>
    <w:rsid w:val="7AFF7BDC"/>
    <w:rsid w:val="7B132F25"/>
    <w:rsid w:val="7B2815BE"/>
    <w:rsid w:val="7B31072C"/>
    <w:rsid w:val="7B4537C1"/>
    <w:rsid w:val="7B5060BF"/>
    <w:rsid w:val="7B551150"/>
    <w:rsid w:val="7B681521"/>
    <w:rsid w:val="7B686D42"/>
    <w:rsid w:val="7B834A8A"/>
    <w:rsid w:val="7B841746"/>
    <w:rsid w:val="7B8A30D1"/>
    <w:rsid w:val="7B8C6B3B"/>
    <w:rsid w:val="7B902188"/>
    <w:rsid w:val="7B9D283F"/>
    <w:rsid w:val="7BA67221"/>
    <w:rsid w:val="7BA93249"/>
    <w:rsid w:val="7BB76DB9"/>
    <w:rsid w:val="7BB8009A"/>
    <w:rsid w:val="7BBE049E"/>
    <w:rsid w:val="7BC74F02"/>
    <w:rsid w:val="7BC81EDC"/>
    <w:rsid w:val="7BCB019B"/>
    <w:rsid w:val="7BDD5510"/>
    <w:rsid w:val="7BE804CB"/>
    <w:rsid w:val="7C0431A6"/>
    <w:rsid w:val="7C0C67B7"/>
    <w:rsid w:val="7C134B67"/>
    <w:rsid w:val="7C2B6F51"/>
    <w:rsid w:val="7C305719"/>
    <w:rsid w:val="7C31114F"/>
    <w:rsid w:val="7C437A61"/>
    <w:rsid w:val="7C547659"/>
    <w:rsid w:val="7C5A34B2"/>
    <w:rsid w:val="7C6C5AC7"/>
    <w:rsid w:val="7C7518E0"/>
    <w:rsid w:val="7C7B5CFE"/>
    <w:rsid w:val="7C7E26E8"/>
    <w:rsid w:val="7C9A04D6"/>
    <w:rsid w:val="7CC6544B"/>
    <w:rsid w:val="7CE72064"/>
    <w:rsid w:val="7CE97613"/>
    <w:rsid w:val="7CF44589"/>
    <w:rsid w:val="7CFA6357"/>
    <w:rsid w:val="7CFB6D7B"/>
    <w:rsid w:val="7D0010D5"/>
    <w:rsid w:val="7D0239FF"/>
    <w:rsid w:val="7D09667B"/>
    <w:rsid w:val="7D16490F"/>
    <w:rsid w:val="7D187817"/>
    <w:rsid w:val="7D204AEF"/>
    <w:rsid w:val="7D285B77"/>
    <w:rsid w:val="7D372072"/>
    <w:rsid w:val="7D3E71EA"/>
    <w:rsid w:val="7D4201C7"/>
    <w:rsid w:val="7D471626"/>
    <w:rsid w:val="7D5E40CD"/>
    <w:rsid w:val="7D686098"/>
    <w:rsid w:val="7D862CB2"/>
    <w:rsid w:val="7DA275F8"/>
    <w:rsid w:val="7DCD56F2"/>
    <w:rsid w:val="7DDF73F6"/>
    <w:rsid w:val="7DE45B75"/>
    <w:rsid w:val="7DE474DE"/>
    <w:rsid w:val="7DF15C3A"/>
    <w:rsid w:val="7E06480E"/>
    <w:rsid w:val="7E110888"/>
    <w:rsid w:val="7E1B3E9D"/>
    <w:rsid w:val="7E1C41A7"/>
    <w:rsid w:val="7E3F7F0D"/>
    <w:rsid w:val="7E452B8D"/>
    <w:rsid w:val="7E4911F8"/>
    <w:rsid w:val="7E4E0127"/>
    <w:rsid w:val="7E6A4086"/>
    <w:rsid w:val="7E7869BD"/>
    <w:rsid w:val="7E7924A1"/>
    <w:rsid w:val="7E7E755F"/>
    <w:rsid w:val="7ED002D9"/>
    <w:rsid w:val="7EE34CC4"/>
    <w:rsid w:val="7EEA53E9"/>
    <w:rsid w:val="7EF6668C"/>
    <w:rsid w:val="7F001CE7"/>
    <w:rsid w:val="7F1821BB"/>
    <w:rsid w:val="7F297DB7"/>
    <w:rsid w:val="7F2B084F"/>
    <w:rsid w:val="7F436226"/>
    <w:rsid w:val="7F46005C"/>
    <w:rsid w:val="7F480FCB"/>
    <w:rsid w:val="7F48737F"/>
    <w:rsid w:val="7F4E0855"/>
    <w:rsid w:val="7F5B69AE"/>
    <w:rsid w:val="7F5D5BC9"/>
    <w:rsid w:val="7F743B6E"/>
    <w:rsid w:val="7F7A5401"/>
    <w:rsid w:val="7F7C3C50"/>
    <w:rsid w:val="7F802B05"/>
    <w:rsid w:val="7F8A5140"/>
    <w:rsid w:val="7FA458B2"/>
    <w:rsid w:val="7FAF18D7"/>
    <w:rsid w:val="7FB55D4B"/>
    <w:rsid w:val="7FC71EF0"/>
    <w:rsid w:val="7FD03A4F"/>
    <w:rsid w:val="7FD17C88"/>
    <w:rsid w:val="7FD750C1"/>
    <w:rsid w:val="7FD840FD"/>
    <w:rsid w:val="7FE47E50"/>
    <w:rsid w:val="7FFB4F93"/>
    <w:rsid w:val="7FFC5B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nhideWhenUsed="0" w:uiPriority="9"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qFormat="1"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nhideWhenUsed="0" w:uiPriority="1"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qFormat="1"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qFormat="1" w:unhideWhenUsed="0" w:uiPriority="0" w:semiHidden="0" w:name="List Bullet 2"/>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sdException w:unhideWhenUsed="0" w:uiPriority="0" w:semiHidden="0" w:name="Body Text Indent 3" w:locked="1"/>
    <w:lsdException w:unhideWhenUsed="0" w:uiPriority="0" w:semiHidden="0" w:name="Block Text" w:locked="1"/>
    <w:lsdException w:qFormat="1" w:unhideWhenUsed="0" w:uiPriority="0"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sdException w:unhideWhenUsed="0" w:uiPriority="0" w:semiHidden="0" w:name="Document Map" w:locked="1"/>
    <w:lsdException w:qFormat="1" w:unhideWhenUsed="0" w:uiPriority="99" w:semiHidden="0" w:name="Plain Text" w:locked="1"/>
    <w:lsdException w:qFormat="1"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unhideWhenUsed="0" w:uiPriority="0" w:semiHidden="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38"/>
    <w:autoRedefine/>
    <w:qFormat/>
    <w:locked/>
    <w:uiPriority w:val="99"/>
    <w:pPr>
      <w:keepNext/>
      <w:overflowPunct w:val="0"/>
      <w:snapToGrid w:val="0"/>
      <w:ind w:firstLine="0" w:firstLineChars="0"/>
      <w:jc w:val="center"/>
      <w:outlineLvl w:val="0"/>
    </w:pPr>
    <w:rPr>
      <w:b/>
      <w:bCs/>
      <w:color w:val="000000"/>
      <w:kern w:val="44"/>
      <w:sz w:val="32"/>
      <w:szCs w:val="30"/>
    </w:rPr>
  </w:style>
  <w:style w:type="paragraph" w:styleId="4">
    <w:name w:val="heading 2"/>
    <w:basedOn w:val="1"/>
    <w:next w:val="1"/>
    <w:autoRedefine/>
    <w:unhideWhenUsed/>
    <w:qFormat/>
    <w:locked/>
    <w:uiPriority w:val="0"/>
    <w:pPr>
      <w:keepNext/>
      <w:keepLines/>
      <w:ind w:firstLine="0" w:firstLineChars="0"/>
      <w:outlineLvl w:val="1"/>
    </w:pPr>
    <w:rPr>
      <w:b/>
      <w:sz w:val="30"/>
      <w:szCs w:val="30"/>
    </w:rPr>
  </w:style>
  <w:style w:type="paragraph" w:styleId="5">
    <w:name w:val="heading 3"/>
    <w:basedOn w:val="1"/>
    <w:next w:val="1"/>
    <w:autoRedefine/>
    <w:qFormat/>
    <w:locked/>
    <w:uiPriority w:val="9"/>
    <w:pPr>
      <w:keepNext/>
      <w:keepLines/>
      <w:ind w:firstLine="100" w:firstLineChars="100"/>
      <w:outlineLvl w:val="2"/>
    </w:pPr>
    <w:rPr>
      <w:b/>
      <w:bCs/>
      <w:sz w:val="28"/>
      <w:szCs w:val="32"/>
    </w:rPr>
  </w:style>
  <w:style w:type="paragraph" w:styleId="6">
    <w:name w:val="heading 4"/>
    <w:basedOn w:val="1"/>
    <w:next w:val="1"/>
    <w:autoRedefine/>
    <w:unhideWhenUsed/>
    <w:qFormat/>
    <w:locked/>
    <w:uiPriority w:val="0"/>
    <w:pPr>
      <w:ind w:hanging="805"/>
      <w:outlineLvl w:val="3"/>
    </w:pPr>
    <w:rPr>
      <w:b/>
      <w:bCs/>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pPr>
      <w:spacing w:after="120"/>
    </w:pPr>
    <w:rPr>
      <w:sz w:val="21"/>
    </w:rPr>
  </w:style>
  <w:style w:type="paragraph" w:styleId="7">
    <w:name w:val="E-mail Signature"/>
    <w:basedOn w:val="1"/>
    <w:next w:val="8"/>
    <w:autoRedefine/>
    <w:qFormat/>
    <w:locked/>
    <w:uiPriority w:val="0"/>
    <w:pPr>
      <w:spacing w:line="460" w:lineRule="exact"/>
      <w:ind w:firstLine="200"/>
    </w:pPr>
  </w:style>
  <w:style w:type="paragraph" w:customStyle="1" w:styleId="8">
    <w:name w:val="文章"/>
    <w:basedOn w:val="9"/>
    <w:next w:val="10"/>
    <w:autoRedefine/>
    <w:qFormat/>
    <w:uiPriority w:val="0"/>
    <w:pPr>
      <w:widowControl/>
      <w:spacing w:after="0" w:line="240" w:lineRule="auto"/>
      <w:ind w:left="0" w:firstLine="480"/>
      <w:jc w:val="center"/>
    </w:pPr>
    <w:rPr>
      <w:sz w:val="26"/>
    </w:rPr>
  </w:style>
  <w:style w:type="paragraph" w:styleId="9">
    <w:name w:val="Body Text Indent"/>
    <w:basedOn w:val="1"/>
    <w:next w:val="1"/>
    <w:autoRedefine/>
    <w:qFormat/>
    <w:uiPriority w:val="0"/>
    <w:pPr>
      <w:spacing w:after="120"/>
      <w:ind w:left="420" w:leftChars="200"/>
    </w:pPr>
  </w:style>
  <w:style w:type="paragraph" w:styleId="10">
    <w:name w:val="List"/>
    <w:basedOn w:val="1"/>
    <w:autoRedefine/>
    <w:qFormat/>
    <w:uiPriority w:val="0"/>
    <w:pPr>
      <w:ind w:left="200" w:hanging="200" w:hangingChars="200"/>
    </w:pPr>
  </w:style>
  <w:style w:type="paragraph" w:styleId="11">
    <w:name w:val="Normal Indent"/>
    <w:basedOn w:val="1"/>
    <w:next w:val="12"/>
    <w:autoRedefine/>
    <w:qFormat/>
    <w:uiPriority w:val="0"/>
    <w:pPr>
      <w:ind w:firstLine="420"/>
    </w:pPr>
  </w:style>
  <w:style w:type="paragraph" w:styleId="12">
    <w:name w:val="Body Text First Indent 2"/>
    <w:basedOn w:val="9"/>
    <w:next w:val="1"/>
    <w:link w:val="65"/>
    <w:autoRedefine/>
    <w:unhideWhenUsed/>
    <w:qFormat/>
    <w:uiPriority w:val="99"/>
    <w:pPr>
      <w:ind w:firstLine="420"/>
    </w:pPr>
  </w:style>
  <w:style w:type="paragraph" w:styleId="13">
    <w:name w:val="index 5"/>
    <w:basedOn w:val="1"/>
    <w:next w:val="1"/>
    <w:qFormat/>
    <w:locked/>
    <w:uiPriority w:val="0"/>
    <w:pPr>
      <w:ind w:left="1680"/>
    </w:pPr>
  </w:style>
  <w:style w:type="paragraph" w:styleId="14">
    <w:name w:val="annotation text"/>
    <w:basedOn w:val="1"/>
    <w:link w:val="94"/>
    <w:autoRedefine/>
    <w:qFormat/>
    <w:uiPriority w:val="0"/>
    <w:pPr>
      <w:jc w:val="left"/>
    </w:pPr>
  </w:style>
  <w:style w:type="paragraph" w:styleId="15">
    <w:name w:val="List Bullet 2"/>
    <w:basedOn w:val="1"/>
    <w:next w:val="16"/>
    <w:autoRedefine/>
    <w:qFormat/>
    <w:uiPriority w:val="0"/>
    <w:pPr>
      <w:numPr>
        <w:ilvl w:val="0"/>
        <w:numId w:val="1"/>
      </w:numPr>
    </w:pPr>
  </w:style>
  <w:style w:type="paragraph" w:customStyle="1" w:styleId="16">
    <w:name w:val="xl70"/>
    <w:basedOn w:val="1"/>
    <w:next w:val="17"/>
    <w:autoRedefine/>
    <w:qFormat/>
    <w:uiPriority w:val="0"/>
    <w:pPr>
      <w:widowControl/>
      <w:spacing w:before="280" w:after="280" w:line="240" w:lineRule="auto"/>
      <w:ind w:firstLine="0"/>
    </w:pPr>
    <w:rPr>
      <w:rFonts w:ascii="宋体"/>
    </w:rPr>
  </w:style>
  <w:style w:type="paragraph" w:customStyle="1" w:styleId="17">
    <w:name w:val="正文缩进1"/>
    <w:basedOn w:val="1"/>
    <w:next w:val="18"/>
    <w:autoRedefine/>
    <w:qFormat/>
    <w:uiPriority w:val="0"/>
    <w:pPr>
      <w:ind w:firstLine="420"/>
    </w:pPr>
    <w:rPr>
      <w:rFonts w:ascii="宋体"/>
      <w:sz w:val="28"/>
    </w:rPr>
  </w:style>
  <w:style w:type="paragraph" w:customStyle="1" w:styleId="18">
    <w:name w:val="td1"/>
    <w:basedOn w:val="1"/>
    <w:next w:val="1"/>
    <w:autoRedefine/>
    <w:qFormat/>
    <w:uiPriority w:val="0"/>
    <w:pPr>
      <w:widowControl/>
      <w:spacing w:before="280" w:after="280" w:line="300" w:lineRule="atLeast"/>
      <w:ind w:firstLine="200"/>
    </w:pPr>
    <w:rPr>
      <w:color w:val="000000"/>
      <w:sz w:val="18"/>
    </w:rPr>
  </w:style>
  <w:style w:type="paragraph" w:styleId="19">
    <w:name w:val="Plain Text"/>
    <w:basedOn w:val="1"/>
    <w:next w:val="1"/>
    <w:autoRedefine/>
    <w:qFormat/>
    <w:locked/>
    <w:uiPriority w:val="99"/>
    <w:rPr>
      <w:rFonts w:ascii="宋体" w:hAnsi="Courier New"/>
      <w:kern w:val="0"/>
      <w:szCs w:val="21"/>
    </w:rPr>
  </w:style>
  <w:style w:type="paragraph" w:styleId="20">
    <w:name w:val="Date"/>
    <w:basedOn w:val="1"/>
    <w:next w:val="1"/>
    <w:link w:val="57"/>
    <w:autoRedefine/>
    <w:qFormat/>
    <w:uiPriority w:val="0"/>
    <w:pPr>
      <w:ind w:left="100" w:leftChars="2500"/>
    </w:pPr>
    <w:rPr>
      <w:kern w:val="0"/>
      <w:szCs w:val="20"/>
    </w:rPr>
  </w:style>
  <w:style w:type="paragraph" w:styleId="21">
    <w:name w:val="Body Text Indent 2"/>
    <w:basedOn w:val="1"/>
    <w:next w:val="22"/>
    <w:autoRedefine/>
    <w:qFormat/>
    <w:uiPriority w:val="0"/>
    <w:pPr>
      <w:spacing w:after="120" w:line="480" w:lineRule="auto"/>
      <w:ind w:left="420" w:leftChars="200"/>
    </w:pPr>
    <w:rPr>
      <w:szCs w:val="20"/>
    </w:rPr>
  </w:style>
  <w:style w:type="paragraph" w:styleId="22">
    <w:name w:val="Body Text First Indent"/>
    <w:basedOn w:val="2"/>
    <w:next w:val="1"/>
    <w:autoRedefine/>
    <w:qFormat/>
    <w:uiPriority w:val="0"/>
    <w:pPr>
      <w:ind w:firstLine="420" w:firstLineChars="100"/>
    </w:pPr>
    <w:rPr>
      <w:sz w:val="24"/>
    </w:rPr>
  </w:style>
  <w:style w:type="paragraph" w:styleId="23">
    <w:name w:val="endnote text"/>
    <w:basedOn w:val="1"/>
    <w:autoRedefine/>
    <w:unhideWhenUsed/>
    <w:qFormat/>
    <w:locked/>
    <w:uiPriority w:val="0"/>
    <w:pPr>
      <w:snapToGrid w:val="0"/>
      <w:jc w:val="left"/>
    </w:pPr>
    <w:rPr>
      <w:rFonts w:ascii="Calibri" w:hAnsi="Calibri"/>
      <w:szCs w:val="22"/>
    </w:rPr>
  </w:style>
  <w:style w:type="paragraph" w:styleId="24">
    <w:name w:val="footer"/>
    <w:basedOn w:val="1"/>
    <w:link w:val="58"/>
    <w:autoRedefine/>
    <w:qFormat/>
    <w:uiPriority w:val="99"/>
    <w:pPr>
      <w:tabs>
        <w:tab w:val="center" w:pos="4153"/>
        <w:tab w:val="right" w:pos="8306"/>
      </w:tabs>
      <w:snapToGrid w:val="0"/>
      <w:jc w:val="left"/>
    </w:pPr>
    <w:rPr>
      <w:kern w:val="0"/>
      <w:sz w:val="18"/>
      <w:szCs w:val="20"/>
    </w:rPr>
  </w:style>
  <w:style w:type="paragraph" w:styleId="25">
    <w:name w:val="header"/>
    <w:basedOn w:val="1"/>
    <w:next w:val="1"/>
    <w:link w:val="59"/>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26">
    <w:name w:val="toc 1"/>
    <w:basedOn w:val="1"/>
    <w:next w:val="1"/>
    <w:autoRedefine/>
    <w:qFormat/>
    <w:locked/>
    <w:uiPriority w:val="0"/>
  </w:style>
  <w:style w:type="paragraph" w:styleId="27">
    <w:name w:val="toc 2"/>
    <w:basedOn w:val="1"/>
    <w:next w:val="7"/>
    <w:autoRedefine/>
    <w:qFormat/>
    <w:locked/>
    <w:uiPriority w:val="1"/>
    <w:pPr>
      <w:spacing w:before="132"/>
      <w:ind w:left="1180" w:right="319" w:hanging="1181"/>
      <w:jc w:val="right"/>
    </w:pPr>
    <w:rPr>
      <w:rFonts w:ascii="宋体" w:hAnsi="宋体" w:cs="宋体"/>
      <w:sz w:val="20"/>
      <w:szCs w:val="20"/>
      <w:lang w:val="zh-CN" w:bidi="zh-CN"/>
    </w:rPr>
  </w:style>
  <w:style w:type="paragraph" w:styleId="28">
    <w:name w:val="Body Text 2"/>
    <w:basedOn w:val="1"/>
    <w:autoRedefine/>
    <w:qFormat/>
    <w:locked/>
    <w:uiPriority w:val="0"/>
    <w:pPr>
      <w:spacing w:line="500" w:lineRule="exact"/>
    </w:pPr>
    <w:rPr>
      <w:rFonts w:eastAsia="黑体"/>
      <w:sz w:val="28"/>
    </w:rPr>
  </w:style>
  <w:style w:type="paragraph" w:styleId="29">
    <w:name w:val="Normal (Web)"/>
    <w:basedOn w:val="1"/>
    <w:autoRedefine/>
    <w:qFormat/>
    <w:uiPriority w:val="0"/>
    <w:pPr>
      <w:spacing w:beforeAutospacing="1" w:afterAutospacing="1"/>
      <w:jc w:val="left"/>
    </w:pPr>
    <w:rPr>
      <w:kern w:val="0"/>
    </w:rPr>
  </w:style>
  <w:style w:type="paragraph" w:styleId="30">
    <w:name w:val="annotation subject"/>
    <w:basedOn w:val="14"/>
    <w:next w:val="14"/>
    <w:link w:val="95"/>
    <w:qFormat/>
    <w:uiPriority w:val="0"/>
    <w:rPr>
      <w:b/>
      <w:bCs/>
    </w:rPr>
  </w:style>
  <w:style w:type="table" w:styleId="32">
    <w:name w:val="Table Grid"/>
    <w:basedOn w:val="31"/>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basedOn w:val="33"/>
    <w:autoRedefine/>
    <w:qFormat/>
    <w:locked/>
    <w:uiPriority w:val="0"/>
    <w:rPr>
      <w:b/>
      <w:sz w:val="24"/>
      <w:szCs w:val="24"/>
    </w:rPr>
  </w:style>
  <w:style w:type="character" w:styleId="35">
    <w:name w:val="page number"/>
    <w:basedOn w:val="33"/>
    <w:autoRedefine/>
    <w:qFormat/>
    <w:locked/>
    <w:uiPriority w:val="0"/>
  </w:style>
  <w:style w:type="character" w:styleId="36">
    <w:name w:val="Hyperlink"/>
    <w:basedOn w:val="33"/>
    <w:autoRedefine/>
    <w:qFormat/>
    <w:uiPriority w:val="0"/>
    <w:rPr>
      <w:color w:val="0000FF"/>
      <w:u w:val="single"/>
    </w:rPr>
  </w:style>
  <w:style w:type="character" w:styleId="37">
    <w:name w:val="annotation reference"/>
    <w:autoRedefine/>
    <w:semiHidden/>
    <w:qFormat/>
    <w:uiPriority w:val="0"/>
    <w:rPr>
      <w:sz w:val="21"/>
    </w:rPr>
  </w:style>
  <w:style w:type="character" w:customStyle="1" w:styleId="38">
    <w:name w:val="标题 1 字符"/>
    <w:link w:val="3"/>
    <w:autoRedefine/>
    <w:qFormat/>
    <w:uiPriority w:val="99"/>
    <w:rPr>
      <w:rFonts w:ascii="Times New Roman" w:hAnsi="Times New Roman" w:eastAsia="宋体"/>
      <w:b/>
      <w:bCs/>
      <w:color w:val="000000"/>
      <w:kern w:val="44"/>
      <w:sz w:val="32"/>
      <w:szCs w:val="30"/>
    </w:rPr>
  </w:style>
  <w:style w:type="paragraph" w:customStyle="1" w:styleId="39">
    <w:name w:val="样式 正文文本缩进 + 行距: 1.5 倍行距"/>
    <w:basedOn w:val="9"/>
    <w:autoRedefine/>
    <w:qFormat/>
    <w:uiPriority w:val="0"/>
    <w:pPr>
      <w:ind w:left="90" w:leftChars="32"/>
    </w:pPr>
    <w:rPr>
      <w:rFonts w:cs="宋体"/>
    </w:rPr>
  </w:style>
  <w:style w:type="paragraph" w:customStyle="1" w:styleId="40">
    <w:name w:val="Default"/>
    <w:basedOn w:val="41"/>
    <w:next w:val="1"/>
    <w:autoRedefine/>
    <w:unhideWhenUsed/>
    <w:qFormat/>
    <w:uiPriority w:val="99"/>
    <w:pPr>
      <w:autoSpaceDE w:val="0"/>
      <w:autoSpaceDN w:val="0"/>
      <w:ind w:firstLine="803"/>
    </w:pPr>
    <w:rPr>
      <w:rFonts w:hAnsi="宋体"/>
      <w:color w:val="000000"/>
      <w:szCs w:val="22"/>
    </w:rPr>
  </w:style>
  <w:style w:type="paragraph" w:customStyle="1" w:styleId="41">
    <w:name w:val="纯文本1"/>
    <w:basedOn w:val="1"/>
    <w:autoRedefine/>
    <w:qFormat/>
    <w:uiPriority w:val="0"/>
    <w:pPr>
      <w:adjustRightInd w:val="0"/>
    </w:pPr>
    <w:rPr>
      <w:rFonts w:ascii="宋体" w:hAnsi="Courier New"/>
      <w:szCs w:val="20"/>
    </w:rPr>
  </w:style>
  <w:style w:type="paragraph" w:customStyle="1" w:styleId="42">
    <w:name w:val="样式5"/>
    <w:basedOn w:val="11"/>
    <w:next w:val="23"/>
    <w:autoRedefine/>
    <w:qFormat/>
    <w:uiPriority w:val="0"/>
    <w:pPr>
      <w:tabs>
        <w:tab w:val="left" w:pos="360"/>
      </w:tabs>
      <w:spacing w:line="380" w:lineRule="exact"/>
      <w:ind w:firstLine="566" w:firstLineChars="202"/>
    </w:pPr>
    <w:rPr>
      <w:rFonts w:eastAsia="华文行楷"/>
      <w:sz w:val="28"/>
    </w:rPr>
  </w:style>
  <w:style w:type="paragraph" w:customStyle="1" w:styleId="43">
    <w:name w:val="样式35"/>
    <w:basedOn w:val="44"/>
    <w:next w:val="46"/>
    <w:autoRedefine/>
    <w:qFormat/>
    <w:uiPriority w:val="0"/>
    <w:pPr>
      <w:tabs>
        <w:tab w:val="left" w:pos="0"/>
        <w:tab w:val="left" w:pos="360"/>
        <w:tab w:val="left" w:pos="540"/>
        <w:tab w:val="left" w:pos="567"/>
      </w:tabs>
      <w:spacing w:before="0" w:after="0" w:line="312" w:lineRule="auto"/>
      <w:ind w:firstLine="567"/>
    </w:pPr>
    <w:rPr>
      <w:rFonts w:ascii="宋体" w:eastAsia="宋体"/>
    </w:rPr>
  </w:style>
  <w:style w:type="paragraph" w:customStyle="1" w:styleId="44">
    <w:name w:val="样式26"/>
    <w:basedOn w:val="45"/>
    <w:autoRedefine/>
    <w:qFormat/>
    <w:uiPriority w:val="0"/>
    <w:pPr>
      <w:tabs>
        <w:tab w:val="left" w:pos="0"/>
        <w:tab w:val="left" w:pos="360"/>
        <w:tab w:val="left" w:pos="540"/>
        <w:tab w:val="left" w:pos="567"/>
      </w:tabs>
    </w:pPr>
  </w:style>
  <w:style w:type="paragraph" w:customStyle="1" w:styleId="45">
    <w:name w:val="样式21"/>
    <w:basedOn w:val="42"/>
    <w:autoRedefine/>
    <w:qFormat/>
    <w:uiPriority w:val="0"/>
    <w:pPr>
      <w:tabs>
        <w:tab w:val="left" w:pos="567"/>
      </w:tabs>
      <w:spacing w:before="120" w:after="120"/>
      <w:ind w:hanging="992"/>
    </w:pPr>
  </w:style>
  <w:style w:type="paragraph" w:customStyle="1" w:styleId="46">
    <w:name w:val="font6"/>
    <w:basedOn w:val="1"/>
    <w:next w:val="27"/>
    <w:autoRedefine/>
    <w:qFormat/>
    <w:uiPriority w:val="0"/>
    <w:pPr>
      <w:widowControl/>
      <w:spacing w:before="280" w:after="280" w:line="240" w:lineRule="auto"/>
      <w:ind w:firstLine="0"/>
    </w:pPr>
    <w:rPr>
      <w:sz w:val="21"/>
    </w:rPr>
  </w:style>
  <w:style w:type="paragraph" w:customStyle="1" w:styleId="47">
    <w:name w:val="正文1"/>
    <w:basedOn w:val="1"/>
    <w:next w:val="1"/>
    <w:autoRedefine/>
    <w:qFormat/>
    <w:uiPriority w:val="0"/>
    <w:pPr>
      <w:snapToGrid w:val="0"/>
      <w:spacing w:before="62" w:beforeLines="20" w:after="62" w:afterLines="20" w:line="312" w:lineRule="auto"/>
      <w:ind w:firstLine="475" w:firstLineChars="198"/>
    </w:pPr>
    <w:rPr>
      <w:rFonts w:ascii="宋体" w:hAnsi="宋体"/>
      <w:color w:val="000000"/>
      <w:szCs w:val="20"/>
    </w:rPr>
  </w:style>
  <w:style w:type="paragraph" w:customStyle="1" w:styleId="48">
    <w:name w:val="Default1"/>
    <w:next w:val="49"/>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49">
    <w:name w:val="样式351"/>
    <w:basedOn w:val="50"/>
    <w:next w:val="53"/>
    <w:autoRedefine/>
    <w:qFormat/>
    <w:uiPriority w:val="0"/>
    <w:pPr>
      <w:tabs>
        <w:tab w:val="left" w:pos="0"/>
        <w:tab w:val="left" w:pos="360"/>
        <w:tab w:val="left" w:pos="540"/>
        <w:tab w:val="left" w:pos="567"/>
      </w:tabs>
      <w:spacing w:before="0" w:after="0" w:line="312" w:lineRule="auto"/>
      <w:ind w:firstLine="567"/>
    </w:pPr>
  </w:style>
  <w:style w:type="paragraph" w:customStyle="1" w:styleId="50">
    <w:name w:val="样式261"/>
    <w:basedOn w:val="51"/>
    <w:autoRedefine/>
    <w:qFormat/>
    <w:uiPriority w:val="0"/>
    <w:pPr>
      <w:tabs>
        <w:tab w:val="left" w:pos="0"/>
        <w:tab w:val="left" w:pos="360"/>
        <w:tab w:val="left" w:pos="540"/>
        <w:tab w:val="left" w:pos="567"/>
      </w:tabs>
    </w:pPr>
  </w:style>
  <w:style w:type="paragraph" w:customStyle="1" w:styleId="51">
    <w:name w:val="样式211"/>
    <w:basedOn w:val="52"/>
    <w:autoRedefine/>
    <w:qFormat/>
    <w:uiPriority w:val="0"/>
    <w:pPr>
      <w:tabs>
        <w:tab w:val="left" w:pos="360"/>
        <w:tab w:val="left" w:pos="567"/>
      </w:tabs>
      <w:spacing w:before="120" w:after="120"/>
      <w:ind w:hanging="992"/>
    </w:pPr>
  </w:style>
  <w:style w:type="paragraph" w:customStyle="1" w:styleId="52">
    <w:name w:val="样式51"/>
    <w:basedOn w:val="11"/>
    <w:autoRedefine/>
    <w:qFormat/>
    <w:uiPriority w:val="0"/>
    <w:pPr>
      <w:spacing w:line="380" w:lineRule="exact"/>
      <w:ind w:firstLine="566" w:firstLineChars="202"/>
    </w:pPr>
    <w:rPr>
      <w:sz w:val="28"/>
    </w:rPr>
  </w:style>
  <w:style w:type="paragraph" w:customStyle="1" w:styleId="53">
    <w:name w:val="font61"/>
    <w:basedOn w:val="1"/>
    <w:next w:val="27"/>
    <w:autoRedefine/>
    <w:qFormat/>
    <w:uiPriority w:val="0"/>
    <w:pPr>
      <w:widowControl/>
      <w:spacing w:before="280" w:after="280" w:line="240" w:lineRule="auto"/>
      <w:ind w:firstLine="0"/>
    </w:pPr>
    <w:rPr>
      <w:sz w:val="21"/>
    </w:rPr>
  </w:style>
  <w:style w:type="paragraph" w:customStyle="1" w:styleId="54">
    <w:name w:val="表格"/>
    <w:basedOn w:val="11"/>
    <w:next w:val="1"/>
    <w:link w:val="60"/>
    <w:autoRedefine/>
    <w:qFormat/>
    <w:uiPriority w:val="0"/>
    <w:pPr>
      <w:adjustRightInd w:val="0"/>
      <w:snapToGrid w:val="0"/>
      <w:spacing w:line="240" w:lineRule="auto"/>
      <w:ind w:firstLine="0" w:firstLineChars="0"/>
      <w:jc w:val="center"/>
    </w:pPr>
    <w:rPr>
      <w:kern w:val="0"/>
      <w:sz w:val="21"/>
      <w:szCs w:val="21"/>
    </w:rPr>
  </w:style>
  <w:style w:type="paragraph" w:customStyle="1" w:styleId="55">
    <w:name w:val="表头"/>
    <w:basedOn w:val="54"/>
    <w:next w:val="1"/>
    <w:link w:val="56"/>
    <w:autoRedefine/>
    <w:qFormat/>
    <w:uiPriority w:val="0"/>
    <w:pPr>
      <w:spacing w:line="360" w:lineRule="auto"/>
    </w:pPr>
    <w:rPr>
      <w:b/>
      <w:sz w:val="24"/>
    </w:rPr>
  </w:style>
  <w:style w:type="character" w:customStyle="1" w:styleId="56">
    <w:name w:val="表头 Char"/>
    <w:link w:val="55"/>
    <w:autoRedefine/>
    <w:qFormat/>
    <w:uiPriority w:val="0"/>
    <w:rPr>
      <w:rFonts w:ascii="Times New Roman" w:hAnsi="Times New Roman" w:eastAsia="宋体"/>
      <w:b/>
      <w:sz w:val="24"/>
    </w:rPr>
  </w:style>
  <w:style w:type="character" w:customStyle="1" w:styleId="57">
    <w:name w:val="日期 字符"/>
    <w:link w:val="20"/>
    <w:autoRedefine/>
    <w:qFormat/>
    <w:locked/>
    <w:uiPriority w:val="0"/>
    <w:rPr>
      <w:rFonts w:ascii="Times New Roman" w:hAnsi="Times New Roman" w:eastAsia="宋体"/>
      <w:sz w:val="24"/>
    </w:rPr>
  </w:style>
  <w:style w:type="character" w:customStyle="1" w:styleId="58">
    <w:name w:val="页脚 字符"/>
    <w:link w:val="24"/>
    <w:autoRedefine/>
    <w:qFormat/>
    <w:locked/>
    <w:uiPriority w:val="99"/>
    <w:rPr>
      <w:sz w:val="18"/>
    </w:rPr>
  </w:style>
  <w:style w:type="character" w:customStyle="1" w:styleId="59">
    <w:name w:val="页眉 字符"/>
    <w:link w:val="25"/>
    <w:autoRedefine/>
    <w:qFormat/>
    <w:locked/>
    <w:uiPriority w:val="0"/>
    <w:rPr>
      <w:sz w:val="18"/>
    </w:rPr>
  </w:style>
  <w:style w:type="character" w:customStyle="1" w:styleId="60">
    <w:name w:val="表格 Char"/>
    <w:link w:val="54"/>
    <w:autoRedefine/>
    <w:qFormat/>
    <w:locked/>
    <w:uiPriority w:val="0"/>
    <w:rPr>
      <w:rFonts w:ascii="Times New Roman" w:hAnsi="Times New Roman" w:eastAsia="宋体"/>
      <w:sz w:val="21"/>
      <w:szCs w:val="21"/>
    </w:rPr>
  </w:style>
  <w:style w:type="table" w:customStyle="1" w:styleId="61">
    <w:name w:val="Table Normal"/>
    <w:autoRedefine/>
    <w:unhideWhenUsed/>
    <w:qFormat/>
    <w:uiPriority w:val="0"/>
    <w:tblPr>
      <w:tblCellMar>
        <w:top w:w="0" w:type="dxa"/>
        <w:left w:w="0" w:type="dxa"/>
        <w:bottom w:w="0" w:type="dxa"/>
        <w:right w:w="0" w:type="dxa"/>
      </w:tblCellMar>
    </w:tblPr>
  </w:style>
  <w:style w:type="paragraph" w:customStyle="1" w:styleId="62">
    <w:name w:val="表名"/>
    <w:basedOn w:val="1"/>
    <w:link w:val="67"/>
    <w:autoRedefine/>
    <w:qFormat/>
    <w:uiPriority w:val="0"/>
    <w:pPr>
      <w:ind w:firstLine="0" w:firstLineChars="0"/>
      <w:jc w:val="center"/>
    </w:pPr>
    <w:rPr>
      <w:b/>
      <w:bCs/>
      <w:kern w:val="0"/>
    </w:rPr>
  </w:style>
  <w:style w:type="character" w:customStyle="1" w:styleId="63">
    <w:name w:val="font21"/>
    <w:basedOn w:val="33"/>
    <w:autoRedefine/>
    <w:qFormat/>
    <w:uiPriority w:val="0"/>
    <w:rPr>
      <w:rFonts w:hint="default" w:ascii="Times New Roman" w:hAnsi="Times New Roman" w:cs="Times New Roman"/>
      <w:color w:val="000000"/>
      <w:sz w:val="21"/>
      <w:szCs w:val="21"/>
      <w:u w:val="none"/>
      <w:vertAlign w:val="subscript"/>
    </w:rPr>
  </w:style>
  <w:style w:type="character" w:customStyle="1" w:styleId="64">
    <w:name w:val="font11"/>
    <w:basedOn w:val="33"/>
    <w:autoRedefine/>
    <w:qFormat/>
    <w:uiPriority w:val="0"/>
    <w:rPr>
      <w:rFonts w:hint="default" w:ascii="Times New Roman" w:hAnsi="Times New Roman" w:cs="Times New Roman"/>
      <w:color w:val="000000"/>
      <w:sz w:val="21"/>
      <w:szCs w:val="21"/>
      <w:u w:val="none"/>
    </w:rPr>
  </w:style>
  <w:style w:type="character" w:customStyle="1" w:styleId="65">
    <w:name w:val="正文文本首行缩进 2 字符"/>
    <w:link w:val="12"/>
    <w:autoRedefine/>
    <w:qFormat/>
    <w:uiPriority w:val="99"/>
  </w:style>
  <w:style w:type="character" w:customStyle="1" w:styleId="66">
    <w:name w:val="font31"/>
    <w:basedOn w:val="33"/>
    <w:autoRedefine/>
    <w:qFormat/>
    <w:uiPriority w:val="0"/>
    <w:rPr>
      <w:rFonts w:hint="eastAsia" w:ascii="宋体" w:hAnsi="宋体" w:eastAsia="宋体" w:cs="宋体"/>
      <w:color w:val="000000"/>
      <w:sz w:val="21"/>
      <w:szCs w:val="21"/>
      <w:u w:val="none"/>
    </w:rPr>
  </w:style>
  <w:style w:type="character" w:customStyle="1" w:styleId="67">
    <w:name w:val="表名 Char"/>
    <w:link w:val="62"/>
    <w:autoRedefine/>
    <w:qFormat/>
    <w:uiPriority w:val="0"/>
    <w:rPr>
      <w:rFonts w:ascii="Times New Roman" w:hAnsi="Times New Roman" w:eastAsia="宋体"/>
      <w:b/>
      <w:bCs/>
      <w:kern w:val="0"/>
    </w:rPr>
  </w:style>
  <w:style w:type="paragraph" w:customStyle="1" w:styleId="68">
    <w:name w:val="Table Text"/>
    <w:basedOn w:val="1"/>
    <w:autoRedefine/>
    <w:semiHidden/>
    <w:qFormat/>
    <w:uiPriority w:val="0"/>
    <w:rPr>
      <w:rFonts w:ascii="宋体" w:hAnsi="宋体" w:cs="宋体"/>
      <w:sz w:val="20"/>
      <w:szCs w:val="20"/>
      <w:lang w:eastAsia="en-US"/>
    </w:rPr>
  </w:style>
  <w:style w:type="paragraph" w:customStyle="1" w:styleId="69">
    <w:name w:val="样式 标题 1 + 四号 段前: 0 磅 段后: 0 磅 行距: 1.5 倍行距"/>
    <w:basedOn w:val="70"/>
    <w:next w:val="71"/>
    <w:autoRedefine/>
    <w:qFormat/>
    <w:uiPriority w:val="0"/>
    <w:pPr>
      <w:spacing w:line="360" w:lineRule="auto"/>
      <w:jc w:val="center"/>
    </w:pPr>
    <w:rPr>
      <w:rFonts w:hAnsi="黑体" w:eastAsia="宋体"/>
      <w:sz w:val="21"/>
    </w:rPr>
  </w:style>
  <w:style w:type="paragraph" w:customStyle="1" w:styleId="70">
    <w:name w:val="1正文"/>
    <w:basedOn w:val="1"/>
    <w:autoRedefine/>
    <w:qFormat/>
    <w:uiPriority w:val="0"/>
    <w:pPr>
      <w:spacing w:line="500" w:lineRule="exact"/>
      <w:ind w:firstLine="588" w:firstLineChars="196"/>
    </w:pPr>
    <w:rPr>
      <w:rFonts w:eastAsia="楷体_GB2312"/>
      <w:sz w:val="30"/>
      <w:szCs w:val="30"/>
    </w:rPr>
  </w:style>
  <w:style w:type="paragraph" w:customStyle="1" w:styleId="71">
    <w:name w:val="文本正文"/>
    <w:basedOn w:val="1"/>
    <w:autoRedefine/>
    <w:qFormat/>
    <w:uiPriority w:val="0"/>
    <w:pPr>
      <w:snapToGrid w:val="0"/>
      <w:ind w:firstLine="510"/>
      <w:jc w:val="left"/>
    </w:pPr>
    <w:rPr>
      <w:rFonts w:ascii="Calibri" w:hAnsi="Calibri"/>
      <w:spacing w:val="4"/>
      <w:kern w:val="24"/>
    </w:rPr>
  </w:style>
  <w:style w:type="paragraph" w:customStyle="1" w:styleId="72">
    <w:name w:val="Table Paragraph"/>
    <w:basedOn w:val="1"/>
    <w:autoRedefine/>
    <w:qFormat/>
    <w:uiPriority w:val="1"/>
  </w:style>
  <w:style w:type="paragraph" w:customStyle="1" w:styleId="73">
    <w:name w:val="标题4"/>
    <w:basedOn w:val="1"/>
    <w:autoRedefine/>
    <w:qFormat/>
    <w:uiPriority w:val="0"/>
    <w:pPr>
      <w:snapToGrid w:val="0"/>
      <w:spacing w:line="560" w:lineRule="atLeast"/>
      <w:jc w:val="center"/>
    </w:pPr>
    <w:rPr>
      <w:rFonts w:hAnsi="宋体"/>
      <w:b/>
      <w:bCs/>
    </w:rPr>
  </w:style>
  <w:style w:type="paragraph" w:customStyle="1" w:styleId="74">
    <w:name w:val="样式 首行缩进:  2 字符1"/>
    <w:basedOn w:val="1"/>
    <w:autoRedefine/>
    <w:qFormat/>
    <w:uiPriority w:val="0"/>
    <w:pPr>
      <w:adjustRightInd w:val="0"/>
      <w:snapToGrid w:val="0"/>
      <w:ind w:firstLine="480"/>
    </w:pPr>
    <w:rPr>
      <w:rFonts w:cs="宋体"/>
    </w:rPr>
  </w:style>
  <w:style w:type="paragraph" w:customStyle="1" w:styleId="75">
    <w:name w:val="表格内文字"/>
    <w:autoRedefine/>
    <w:semiHidden/>
    <w:qFormat/>
    <w:uiPriority w:val="0"/>
    <w:pPr>
      <w:keepNext/>
      <w:widowControl w:val="0"/>
      <w:spacing w:line="240" w:lineRule="atLeast"/>
      <w:jc w:val="center"/>
    </w:pPr>
    <w:rPr>
      <w:rFonts w:ascii="宋体" w:hAnsi="宋体" w:eastAsia="宋体" w:cs="Times New Roman"/>
      <w:w w:val="90"/>
      <w:sz w:val="21"/>
      <w:szCs w:val="22"/>
      <w:lang w:val="en-US" w:eastAsia="zh-CN" w:bidi="ar-SA"/>
    </w:rPr>
  </w:style>
  <w:style w:type="paragraph" w:customStyle="1" w:styleId="76">
    <w:name w:val="新格式表"/>
    <w:basedOn w:val="1"/>
    <w:autoRedefine/>
    <w:qFormat/>
    <w:uiPriority w:val="0"/>
    <w:pPr>
      <w:adjustRightInd w:val="0"/>
      <w:snapToGrid w:val="0"/>
      <w:spacing w:line="0" w:lineRule="atLeast"/>
      <w:jc w:val="center"/>
    </w:pPr>
    <w:rPr>
      <w:color w:val="000000"/>
      <w:kern w:val="0"/>
      <w:szCs w:val="21"/>
    </w:rPr>
  </w:style>
  <w:style w:type="paragraph" w:customStyle="1" w:styleId="77">
    <w:name w:val="表格标题1"/>
    <w:basedOn w:val="1"/>
    <w:autoRedefine/>
    <w:qFormat/>
    <w:uiPriority w:val="0"/>
    <w:pPr>
      <w:adjustRightInd w:val="0"/>
      <w:snapToGrid w:val="0"/>
      <w:spacing w:line="440" w:lineRule="exact"/>
      <w:jc w:val="center"/>
    </w:pPr>
    <w:rPr>
      <w:rFonts w:hAnsi="宋体"/>
      <w:b/>
      <w:szCs w:val="21"/>
    </w:rPr>
  </w:style>
  <w:style w:type="paragraph" w:customStyle="1" w:styleId="78">
    <w:name w:val="表格文字11"/>
    <w:basedOn w:val="1"/>
    <w:autoRedefine/>
    <w:qFormat/>
    <w:uiPriority w:val="0"/>
    <w:pPr>
      <w:snapToGrid w:val="0"/>
      <w:spacing w:line="400" w:lineRule="exact"/>
      <w:jc w:val="center"/>
    </w:pPr>
    <w:rPr>
      <w:spacing w:val="6"/>
      <w:szCs w:val="21"/>
    </w:rPr>
  </w:style>
  <w:style w:type="character" w:customStyle="1" w:styleId="79">
    <w:name w:val="NormalCharacter"/>
    <w:autoRedefine/>
    <w:semiHidden/>
    <w:qFormat/>
    <w:uiPriority w:val="0"/>
  </w:style>
  <w:style w:type="paragraph" w:customStyle="1" w:styleId="80">
    <w:name w:val="制表格"/>
    <w:basedOn w:val="1"/>
    <w:autoRedefine/>
    <w:qFormat/>
    <w:uiPriority w:val="0"/>
    <w:pPr>
      <w:jc w:val="center"/>
    </w:pPr>
    <w:rPr>
      <w:snapToGrid w:val="0"/>
      <w:kern w:val="0"/>
      <w:szCs w:val="28"/>
    </w:rPr>
  </w:style>
  <w:style w:type="paragraph" w:customStyle="1" w:styleId="81">
    <w:name w:val="正文样式"/>
    <w:basedOn w:val="1"/>
    <w:autoRedefine/>
    <w:qFormat/>
    <w:uiPriority w:val="0"/>
    <w:pPr>
      <w:adjustRightInd w:val="0"/>
      <w:ind w:firstLine="824"/>
    </w:pPr>
    <w:rPr>
      <w:kern w:val="0"/>
      <w:szCs w:val="20"/>
    </w:rPr>
  </w:style>
  <w:style w:type="character" w:customStyle="1" w:styleId="82">
    <w:name w:val="ggzbt011"/>
    <w:basedOn w:val="33"/>
    <w:autoRedefine/>
    <w:qFormat/>
    <w:uiPriority w:val="0"/>
  </w:style>
  <w:style w:type="paragraph" w:customStyle="1" w:styleId="83">
    <w:name w:val="表格内正文"/>
    <w:basedOn w:val="1"/>
    <w:autoRedefine/>
    <w:qFormat/>
    <w:uiPriority w:val="0"/>
    <w:pPr>
      <w:ind w:firstLine="493"/>
    </w:pPr>
    <w:rPr>
      <w:rFonts w:ascii="宋体" w:hAnsi="宋体"/>
      <w:spacing w:val="4"/>
      <w:kern w:val="18"/>
    </w:rPr>
  </w:style>
  <w:style w:type="paragraph" w:customStyle="1" w:styleId="84">
    <w:name w:val="表格内容"/>
    <w:autoRedefine/>
    <w:qFormat/>
    <w:uiPriority w:val="0"/>
    <w:pPr>
      <w:adjustRightInd w:val="0"/>
      <w:snapToGrid w:val="0"/>
      <w:spacing w:line="360" w:lineRule="exact"/>
      <w:jc w:val="center"/>
    </w:pPr>
    <w:rPr>
      <w:rFonts w:ascii="Times New Roman" w:hAnsi="Times New Roman" w:eastAsia="宋体" w:cs="Times New Roman"/>
      <w:color w:val="000000"/>
      <w:szCs w:val="24"/>
      <w:lang w:val="en-US" w:eastAsia="zh-CN" w:bidi="ar-SA"/>
    </w:rPr>
  </w:style>
  <w:style w:type="paragraph" w:customStyle="1" w:styleId="85">
    <w:name w:val="表格标题"/>
    <w:basedOn w:val="2"/>
    <w:next w:val="22"/>
    <w:autoRedefine/>
    <w:qFormat/>
    <w:uiPriority w:val="0"/>
    <w:pPr>
      <w:overflowPunct w:val="0"/>
      <w:spacing w:beforeLines="50" w:after="0"/>
      <w:ind w:firstLine="422"/>
    </w:pPr>
    <w:rPr>
      <w:rFonts w:ascii="Calibri" w:hAnsi="Calibri"/>
      <w:b/>
      <w:color w:val="FF00FF"/>
      <w:szCs w:val="21"/>
      <w:lang w:bidi="en-US"/>
    </w:rPr>
  </w:style>
  <w:style w:type="paragraph" w:customStyle="1" w:styleId="86">
    <w:name w:val="样式1"/>
    <w:basedOn w:val="1"/>
    <w:autoRedefine/>
    <w:qFormat/>
    <w:uiPriority w:val="0"/>
    <w:pPr>
      <w:adjustRightInd w:val="0"/>
      <w:spacing w:line="480" w:lineRule="atLeast"/>
      <w:ind w:firstLine="539"/>
    </w:pPr>
    <w:rPr>
      <w:rFonts w:eastAsia="仿宋_GB2312"/>
      <w:kern w:val="0"/>
      <w:sz w:val="28"/>
    </w:rPr>
  </w:style>
  <w:style w:type="paragraph" w:customStyle="1" w:styleId="87">
    <w:name w:val="表格1"/>
    <w:basedOn w:val="55"/>
    <w:autoRedefine/>
    <w:qFormat/>
    <w:uiPriority w:val="0"/>
    <w:pPr>
      <w:spacing w:line="480" w:lineRule="exact"/>
      <w:textAlignment w:val="baseline"/>
    </w:pPr>
    <w:rPr>
      <w:rFonts w:ascii="ˎ̥"/>
    </w:rPr>
  </w:style>
  <w:style w:type="paragraph" w:customStyle="1" w:styleId="88">
    <w:name w:val="0正文"/>
    <w:basedOn w:val="1"/>
    <w:next w:val="1"/>
    <w:autoRedefine/>
    <w:qFormat/>
    <w:uiPriority w:val="0"/>
    <w:pPr>
      <w:adjustRightInd w:val="0"/>
      <w:snapToGrid w:val="0"/>
    </w:pPr>
  </w:style>
  <w:style w:type="paragraph" w:customStyle="1" w:styleId="89">
    <w:name w:val="样式正文无级"/>
    <w:basedOn w:val="1"/>
    <w:autoRedefine/>
    <w:qFormat/>
    <w:uiPriority w:val="0"/>
    <w:pPr>
      <w:ind w:firstLine="480"/>
    </w:pPr>
    <w:rPr>
      <w:kern w:val="0"/>
    </w:rPr>
  </w:style>
  <w:style w:type="paragraph" w:customStyle="1" w:styleId="90">
    <w:name w:val="表内文字"/>
    <w:qFormat/>
    <w:uiPriority w:val="99"/>
    <w:pPr>
      <w:jc w:val="center"/>
    </w:pPr>
    <w:rPr>
      <w:rFonts w:ascii="Times New Roman" w:hAnsi="Times New Roman" w:eastAsia="宋体" w:cs="Times New Roman"/>
      <w:kern w:val="2"/>
      <w:sz w:val="21"/>
      <w:szCs w:val="24"/>
      <w:lang w:val="en-US" w:eastAsia="zh-CN" w:bidi="ar-SA"/>
    </w:rPr>
  </w:style>
  <w:style w:type="paragraph" w:customStyle="1" w:styleId="91">
    <w:name w:val="表格图片"/>
    <w:autoRedefine/>
    <w:qFormat/>
    <w:uiPriority w:val="2"/>
    <w:pPr>
      <w:widowControl w:val="0"/>
      <w:adjustRightInd w:val="0"/>
      <w:snapToGrid w:val="0"/>
      <w:jc w:val="center"/>
    </w:pPr>
    <w:rPr>
      <w:rFonts w:ascii="Times New Roman" w:hAnsi="Times New Roman" w:eastAsia="宋体" w:cs="Times New Roman"/>
      <w:kern w:val="24"/>
      <w:sz w:val="24"/>
      <w:szCs w:val="24"/>
      <w:lang w:val="en-US" w:eastAsia="zh-CN" w:bidi="ar-SA"/>
    </w:rPr>
  </w:style>
  <w:style w:type="table" w:customStyle="1" w:styleId="92">
    <w:name w:val="附件附图表格"/>
    <w:basedOn w:val="31"/>
    <w:qFormat/>
    <w:uiPriority w:val="99"/>
    <w:pPr>
      <w:widowControl w:val="0"/>
      <w:adjustRightInd w:val="0"/>
      <w:snapToGrid w:val="0"/>
      <w:jc w:val="center"/>
    </w:pPr>
    <w:rPr>
      <w:snapToGrid w:val="0"/>
      <w:kern w:val="24"/>
      <w:sz w:val="24"/>
      <w:szCs w:val="24"/>
    </w:rPr>
    <w:tblPr>
      <w:jc w:val="center"/>
      <w:tblCellMar>
        <w:left w:w="0" w:type="dxa"/>
        <w:right w:w="0" w:type="dxa"/>
      </w:tblCellMar>
    </w:tblPr>
    <w:trPr>
      <w:jc w:val="center"/>
    </w:trPr>
    <w:tcPr>
      <w:vAlign w:val="center"/>
    </w:tcPr>
  </w:style>
  <w:style w:type="paragraph" w:customStyle="1" w:styleId="93">
    <w:name w:val="图片标题"/>
    <w:basedOn w:val="1"/>
    <w:qFormat/>
    <w:uiPriority w:val="2"/>
    <w:pPr>
      <w:numPr>
        <w:ilvl w:val="7"/>
        <w:numId w:val="2"/>
      </w:numPr>
      <w:tabs>
        <w:tab w:val="right" w:leader="dot" w:pos="9060"/>
      </w:tabs>
      <w:spacing w:line="240" w:lineRule="auto"/>
      <w:ind w:firstLineChars="0"/>
      <w:jc w:val="center"/>
    </w:pPr>
    <w:rPr>
      <w:rFonts w:cs="宋体"/>
      <w:color w:val="000000"/>
      <w:kern w:val="0"/>
      <w:szCs w:val="22"/>
    </w:rPr>
  </w:style>
  <w:style w:type="character" w:customStyle="1" w:styleId="94">
    <w:name w:val="批注文字 字符"/>
    <w:basedOn w:val="33"/>
    <w:link w:val="14"/>
    <w:qFormat/>
    <w:uiPriority w:val="0"/>
    <w:rPr>
      <w:kern w:val="2"/>
      <w:sz w:val="24"/>
      <w:szCs w:val="24"/>
    </w:rPr>
  </w:style>
  <w:style w:type="character" w:customStyle="1" w:styleId="95">
    <w:name w:val="批注主题 字符"/>
    <w:basedOn w:val="94"/>
    <w:link w:val="30"/>
    <w:qFormat/>
    <w:uiPriority w:val="0"/>
    <w:rPr>
      <w:b/>
      <w:bCs/>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7.jpeg"/><Relationship Id="rId23" Type="http://schemas.openxmlformats.org/officeDocument/2006/relationships/image" Target="media/image6.wmf"/><Relationship Id="rId22" Type="http://schemas.openxmlformats.org/officeDocument/2006/relationships/oleObject" Target="embeddings/oleObject1.bin"/><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100</Pages>
  <Words>11383</Words>
  <Characters>12113</Characters>
  <Lines>402</Lines>
  <Paragraphs>113</Paragraphs>
  <TotalTime>1</TotalTime>
  <ScaleCrop>false</ScaleCrop>
  <LinksUpToDate>false</LinksUpToDate>
  <CharactersWithSpaces>12189</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2020-12-24T17:29:00Z</dcterms:created>
  <dc:creator>lhj</dc:creator>
  <cp:lastModifiedBy>夜思</cp:lastModifiedBy>
  <cp:lastPrinted>2021-06-28T20:43:00Z</cp:lastPrinted>
  <dcterms:modified xsi:type="dcterms:W3CDTF">2025-05-28T11:45:12Z</dcterms:modified>
  <dc:title>附件2</dc:title>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KSOSaveFontToCloudKey">
    <vt:lpwstr>228599947_cloud</vt:lpwstr>
  </property>
  <property fmtid="{D5CDD505-2E9C-101B-9397-08002B2CF9AE}" pid="4" name="ICV">
    <vt:lpwstr>09668D9784DC4051B2675E1FB14F2FC0_13</vt:lpwstr>
  </property>
  <property fmtid="{D5CDD505-2E9C-101B-9397-08002B2CF9AE}" pid="5" name="KSOTemplateDocerSaveRecord">
    <vt:lpwstr>eyJoZGlkIjoiODdjMjZmZGQwNjc0MjE0ZDAwNDU3YzBkOGQ2NGQ2MzIiLCJ1c2VySWQiOiI0NDk4MTYzMzcifQ==</vt:lpwstr>
  </property>
</Properties>
</file>