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ind w:left="0" w:leftChars="0" w:firstLine="0" w:firstLineChars="0"/>
        <w:textAlignment w:val="auto"/>
        <w:outlineLvl w:val="0"/>
        <w:rPr>
          <w:rFonts w:hint="eastAsia" w:ascii="国标黑体" w:hAnsi="国标黑体" w:eastAsia="国标黑体" w:cs="国标黑体"/>
          <w:b w:val="0"/>
          <w:bCs w:val="0"/>
          <w:sz w:val="44"/>
          <w:szCs w:val="44"/>
          <w:lang w:val="en-US" w:eastAsia="zh-CN"/>
        </w:rPr>
      </w:pPr>
      <w:r>
        <w:rPr>
          <w:rFonts w:hint="eastAsia" w:ascii="国标黑体" w:hAnsi="国标黑体" w:eastAsia="国标黑体" w:cs="国标黑体"/>
          <w:color w:val="auto"/>
          <w:sz w:val="32"/>
          <w:szCs w:val="20"/>
          <w:lang w:val="en-US" w:eastAsia="zh-CN"/>
        </w:rPr>
        <w:t>附件</w:t>
      </w:r>
      <w:r>
        <w:rPr>
          <w:rFonts w:hint="eastAsia" w:ascii="国标黑体" w:hAnsi="国标黑体" w:eastAsia="国标黑体" w:cs="国标黑体"/>
          <w:sz w:val="32"/>
          <w:szCs w:val="32"/>
          <w:lang w:val="en-US" w:eastAsia="zh-CN"/>
        </w:rPr>
        <w:t>1</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textAlignment w:val="auto"/>
        <w:rPr>
          <w:rFonts w:hint="eastAsia" w:ascii="方正小标宋简体" w:hAnsi="方正小标宋简体" w:eastAsia="方正小标宋简体" w:cs="方正小标宋简体"/>
          <w:b w:val="0"/>
          <w:bCs w:val="0"/>
          <w:sz w:val="44"/>
          <w:szCs w:val="44"/>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同德县</w:t>
      </w:r>
      <w:r>
        <w:rPr>
          <w:rFonts w:hint="eastAsia" w:ascii="方正小标宋简体" w:hAnsi="方正小标宋简体" w:eastAsia="方正小标宋简体" w:cs="方正小标宋简体"/>
          <w:b w:val="0"/>
          <w:bCs w:val="0"/>
          <w:sz w:val="44"/>
          <w:szCs w:val="44"/>
        </w:rPr>
        <w:t>人民调解员“以案定补”</w:t>
      </w:r>
      <w:r>
        <w:rPr>
          <w:rFonts w:hint="eastAsia" w:ascii="方正小标宋简体" w:hAnsi="方正小标宋简体" w:eastAsia="方正小标宋简体" w:cs="方正小标宋简体"/>
          <w:b w:val="0"/>
          <w:bCs w:val="0"/>
          <w:sz w:val="44"/>
          <w:szCs w:val="44"/>
          <w:lang w:val="en-US" w:eastAsia="zh-CN"/>
        </w:rPr>
        <w:t>经费</w:t>
      </w:r>
      <w:r>
        <w:rPr>
          <w:rFonts w:hint="eastAsia" w:ascii="方正小标宋简体" w:hAnsi="方正小标宋简体" w:eastAsia="方正小标宋简体" w:cs="方正小标宋简体"/>
          <w:b w:val="0"/>
          <w:bCs w:val="0"/>
          <w:sz w:val="44"/>
          <w:szCs w:val="44"/>
        </w:rPr>
        <w:t>管理办法</w:t>
      </w:r>
    </w:p>
    <w:p>
      <w:pPr>
        <w:keepNext w:val="0"/>
        <w:keepLines w:val="0"/>
        <w:pageBreakBefore w:val="0"/>
        <w:widowControl w:val="0"/>
        <w:kinsoku/>
        <w:wordWrap/>
        <w:overflowPunct/>
        <w:topLinePunct w:val="0"/>
        <w:autoSpaceDE/>
        <w:autoSpaceDN/>
        <w:bidi w:val="0"/>
        <w:adjustRightInd w:val="0"/>
        <w:snapToGrid/>
        <w:spacing w:line="560" w:lineRule="exact"/>
        <w:ind w:firstLine="0" w:firstLineChars="0"/>
        <w:jc w:val="center"/>
        <w:textAlignment w:val="auto"/>
        <w:outlineLvl w:val="9"/>
        <w:rPr>
          <w:rFonts w:hint="eastAsia" w:ascii="楷体_GB2312" w:hAnsi="楷体_GB2312" w:eastAsia="楷体_GB2312" w:cs="楷体_GB2312"/>
          <w:spacing w:val="0"/>
          <w:kern w:val="0"/>
          <w:sz w:val="32"/>
          <w:szCs w:val="32"/>
          <w:lang w:val="en" w:eastAsia="zh-CN"/>
        </w:rPr>
      </w:pPr>
      <w:r>
        <w:rPr>
          <w:rFonts w:hint="eastAsia" w:ascii="楷体_GB2312" w:hAnsi="楷体_GB2312" w:eastAsia="楷体_GB2312" w:cs="楷体_GB2312"/>
          <w:spacing w:val="0"/>
          <w:kern w:val="0"/>
          <w:sz w:val="32"/>
          <w:szCs w:val="32"/>
          <w:lang w:val="en" w:eastAsia="zh-CN"/>
        </w:rPr>
        <w:t>（草案征求意见稿）</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jc w:val="both"/>
        <w:textAlignment w:val="auto"/>
        <w:rPr>
          <w:rFonts w:hint="eastAsia" w:ascii="仿宋" w:hAnsi="仿宋" w:eastAsia="仿宋" w:cs="仿宋"/>
          <w:b/>
          <w:bCs/>
          <w:sz w:val="32"/>
          <w:szCs w:val="32"/>
          <w:lang w:val="en-US" w:eastAsia="zh-CN"/>
        </w:rPr>
      </w:pP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2" w:firstLineChars="200"/>
        <w:jc w:val="both"/>
        <w:textAlignment w:val="auto"/>
      </w:pPr>
      <w:r>
        <w:rPr>
          <w:rFonts w:hint="eastAsia" w:ascii="仿宋" w:hAnsi="仿宋" w:eastAsia="仿宋" w:cs="仿宋"/>
          <w:b/>
          <w:bCs/>
          <w:sz w:val="32"/>
          <w:szCs w:val="32"/>
          <w:lang w:val="en-US" w:eastAsia="zh-CN"/>
        </w:rPr>
        <w:t>第一</w:t>
      </w:r>
      <w:r>
        <w:rPr>
          <w:rFonts w:hint="eastAsia" w:ascii="仿宋_GB2312" w:hAnsi="仿宋_GB2312" w:eastAsia="仿宋_GB2312" w:cs="仿宋_GB2312"/>
          <w:b/>
          <w:bCs/>
          <w:kern w:val="2"/>
          <w:sz w:val="32"/>
          <w:szCs w:val="40"/>
          <w:lang w:val="en-US" w:eastAsia="zh-CN" w:bidi="ar-SA"/>
        </w:rPr>
        <w:t>条</w:t>
      </w:r>
      <w:r>
        <w:rPr>
          <w:rFonts w:hint="eastAsia" w:ascii="仿宋_GB2312" w:hAnsi="仿宋_GB2312" w:eastAsia="仿宋_GB2312" w:cs="仿宋_GB2312"/>
          <w:kern w:val="2"/>
          <w:sz w:val="32"/>
          <w:szCs w:val="40"/>
          <w:lang w:val="en-US" w:eastAsia="zh-CN" w:bidi="ar-SA"/>
        </w:rPr>
        <w:t xml:space="preserve">  为</w:t>
      </w:r>
      <w:r>
        <w:rPr>
          <w:rFonts w:hint="eastAsia" w:ascii="仿宋" w:hAnsi="仿宋" w:eastAsia="仿宋" w:cs="仿宋"/>
          <w:sz w:val="32"/>
          <w:szCs w:val="32"/>
        </w:rPr>
        <w:t>规范人民调解员“以案定补”经费管理，充分调动全县各行政村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社区）</w:t>
      </w:r>
      <w:r>
        <w:rPr>
          <w:rFonts w:hint="eastAsia" w:ascii="仿宋" w:hAnsi="仿宋" w:eastAsia="仿宋" w:cs="仿宋"/>
          <w:sz w:val="32"/>
          <w:szCs w:val="32"/>
        </w:rPr>
        <w:t>人民调解员参与化解矛盾纠纷的主动性和积极性，切实发挥人民调解在维护社会和谐稳定中的基础性作用，保障基层社会治理效能，依据《中华人民共和国人民调解法》、国务院《人民调解委员会组织条例》、司法部《人民调解工作若干规定》、《青海省人民调解工作条例》、《财政部、司法部关于进一步加强人民调解工作经费保障的意见》等有关法律法规规章及规范性文件，结合我县实际，制定本办法。</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本办法适用于本</w:t>
      </w:r>
      <w:r>
        <w:rPr>
          <w:rFonts w:hint="eastAsia" w:ascii="仿宋" w:hAnsi="仿宋" w:eastAsia="仿宋" w:cs="仿宋"/>
          <w:sz w:val="32"/>
          <w:szCs w:val="32"/>
          <w:lang w:val="en-US" w:eastAsia="zh-CN"/>
        </w:rPr>
        <w:t>县辖区内各</w:t>
      </w:r>
      <w:r>
        <w:rPr>
          <w:rFonts w:hint="eastAsia" w:ascii="仿宋" w:hAnsi="仿宋" w:eastAsia="仿宋" w:cs="仿宋"/>
          <w:sz w:val="32"/>
          <w:szCs w:val="32"/>
        </w:rPr>
        <w:t>行政村（社区）、乡镇、行业性专业性人民调解委员会（以下简称“调委会”）中专职或兼职人民调解员调解成功案件的补贴发放管理。</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2" w:firstLineChars="200"/>
        <w:jc w:val="both"/>
        <w:textAlignment w:val="auto"/>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本办法所称“以案定补”，是指用于全县各行政村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社区</w:t>
      </w:r>
      <w:r>
        <w:rPr>
          <w:rFonts w:hint="eastAsia" w:ascii="仿宋" w:hAnsi="仿宋" w:eastAsia="仿宋" w:cs="仿宋"/>
          <w:sz w:val="32"/>
          <w:szCs w:val="32"/>
          <w:lang w:eastAsia="zh-CN"/>
        </w:rPr>
        <w:t>）</w:t>
      </w:r>
      <w:r>
        <w:rPr>
          <w:rFonts w:hint="eastAsia" w:ascii="仿宋" w:hAnsi="仿宋" w:eastAsia="仿宋" w:cs="仿宋"/>
          <w:sz w:val="32"/>
          <w:szCs w:val="32"/>
        </w:rPr>
        <w:t>人民调解员成功调解民间纠纷的一种激励性补贴资金。该补贴资金按调解纠纷的数量质量、纠纷的难易程度、社会影响及调解规范化程度实行“以案定补”。由多名调解员共同成功调解一件民间纠纷的，按一件标准计算。</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县司法行政部门是人民调解员“以案定补”资金的主管部门，“以案定补”资金由县财政纳入县级财政预算，并根据县级财力和人民调解员办案情况逐年调整。“以案定补”资金必须专款专用、统一核算，接受财政、纪检、审计部门的监督，确保资金安全。</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第五条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“以案定补”坚持“公平公正、按绩施补、专款专用、动态调整”原则，以调解案件数量、质量、难度为主要依据，结合调解程序规范性和社会效果，合理确定补贴标准。</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第六条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符合下列情形之一的认定为简易纠纷</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（一）权利义务明确，双方当事人争议不大的矛盾纠纷；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（二）事实清楚，责任明确，经口头调解即能达成和解协议的矛盾纠纷；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（三）其他各类简易矛盾纠纷。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lang w:eastAsia="zh-CN"/>
        </w:rPr>
      </w:pPr>
      <w:r>
        <w:rPr>
          <w:rFonts w:hint="eastAsia" w:ascii="仿宋" w:hAnsi="仿宋" w:eastAsia="仿宋" w:cs="仿宋"/>
          <w:b/>
          <w:bCs/>
          <w:sz w:val="32"/>
          <w:szCs w:val="32"/>
        </w:rPr>
        <w:t>第七条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符合下列情形之一的认定为一般纠纷</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（一）因婚姻家庭、邻里关系、小额债务、轻微侵权、生产经营等产生的常见、多发的一般矛盾纠纷；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（二）矛盾纠纷后果不会形成“民转刑”的为一般矛盾纠纷；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（三）其他一般矛盾纠纷。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符合下列情形之一的认定为疑难纠纷</w:t>
      </w:r>
      <w:r>
        <w:rPr>
          <w:rFonts w:hint="eastAsia" w:ascii="仿宋" w:hAnsi="仿宋" w:eastAsia="仿宋" w:cs="仿宋"/>
          <w:sz w:val="32"/>
          <w:szCs w:val="32"/>
          <w:lang w:eastAsia="zh-CN"/>
        </w:rPr>
        <w:t>：</w:t>
      </w:r>
      <w:r>
        <w:rPr>
          <w:rFonts w:hint="eastAsia" w:ascii="仿宋" w:hAnsi="仿宋" w:eastAsia="仿宋" w:cs="仿宋"/>
          <w:sz w:val="32"/>
          <w:szCs w:val="32"/>
        </w:rPr>
        <w:t>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（一）涉案标的额20万元以上，50万（包含50万元）元以下的矛盾纠纷；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（二）因土地承包、征地拆迁、劳动争议、工伤医疗、环境保护、物业管理、道路交通等引发的个体性矛盾纠纷；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（三）具有当事人权利义务关系复杂、反复调解、周期性长等特点的矛盾纠纷；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（四）乡镇政府交办的矛盾纠纷；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（五）有可能导致矛盾激化、突发群体性事件、越级上访事件或“民转刑”案件的矛盾纠纷。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b/>
          <w:bCs/>
          <w:sz w:val="32"/>
          <w:szCs w:val="32"/>
          <w:lang w:val="en-US" w:eastAsia="zh-CN"/>
        </w:rPr>
        <w:t xml:space="preserve">第九条  </w:t>
      </w:r>
      <w:r>
        <w:rPr>
          <w:rFonts w:hint="eastAsia" w:ascii="仿宋" w:hAnsi="仿宋" w:eastAsia="仿宋" w:cs="仿宋"/>
          <w:kern w:val="0"/>
          <w:sz w:val="32"/>
          <w:szCs w:val="32"/>
          <w:lang w:val="en-US" w:eastAsia="zh-CN" w:bidi="ar"/>
        </w:rPr>
        <w:t>符合下列情形之一的认定为重大纠纷：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（一）纠纷人数在20人以上，涉案标的额在50万元以上，且极易形成群体性事件的矛盾纠纷；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（二）重大事故或群体性事件造成严重后果或重大社会影响的纠纷；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（三）涉及两个以上村（社区）或乡镇的山林、土地等权属争议的矛盾纠纷；</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（四）其它重大矛盾纠纷。</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default" w:ascii="仿宋_GB2312" w:hAnsi="仿宋_GB2312" w:eastAsia="仿宋_GB2312" w:cs="仿宋_GB2312"/>
          <w:sz w:val="32"/>
          <w:szCs w:val="40"/>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人民调解员参与并成功调解简易纠纷的，应填写《民间纠纷受理调解登记表》，要素齐全的，每件补贴</w:t>
      </w:r>
      <w:r>
        <w:rPr>
          <w:rFonts w:hint="eastAsia" w:ascii="仿宋" w:hAnsi="仿宋" w:eastAsia="仿宋" w:cs="仿宋"/>
          <w:sz w:val="32"/>
          <w:szCs w:val="32"/>
          <w:lang w:val="en-US" w:eastAsia="zh-CN"/>
        </w:rPr>
        <w:t>80</w:t>
      </w:r>
      <w:r>
        <w:rPr>
          <w:rFonts w:hint="eastAsia" w:ascii="仿宋" w:hAnsi="仿宋" w:eastAsia="仿宋" w:cs="仿宋"/>
          <w:sz w:val="32"/>
          <w:szCs w:val="32"/>
        </w:rPr>
        <w:t>元；主持调解一般矛盾纠纷，达成调解协议且要素齐全的，每件补助</w:t>
      </w:r>
      <w:r>
        <w:rPr>
          <w:rFonts w:hint="eastAsia" w:ascii="仿宋" w:hAnsi="仿宋" w:eastAsia="仿宋" w:cs="仿宋"/>
          <w:sz w:val="32"/>
          <w:szCs w:val="32"/>
          <w:lang w:val="en-US" w:eastAsia="zh-CN"/>
        </w:rPr>
        <w:t>200</w:t>
      </w:r>
      <w:r>
        <w:rPr>
          <w:rFonts w:hint="eastAsia" w:ascii="仿宋" w:hAnsi="仿宋" w:eastAsia="仿宋" w:cs="仿宋"/>
          <w:sz w:val="32"/>
          <w:szCs w:val="32"/>
        </w:rPr>
        <w:t>元；主持调解疑难矛盾纠纷，达成调解协议且要素齐全的，每件补助</w:t>
      </w:r>
      <w:r>
        <w:rPr>
          <w:rFonts w:hint="eastAsia" w:ascii="仿宋" w:hAnsi="仿宋" w:eastAsia="仿宋" w:cs="仿宋"/>
          <w:sz w:val="32"/>
          <w:szCs w:val="32"/>
          <w:lang w:val="en-US" w:eastAsia="zh-CN"/>
        </w:rPr>
        <w:t>500</w:t>
      </w:r>
      <w:r>
        <w:rPr>
          <w:rFonts w:hint="eastAsia" w:ascii="仿宋" w:hAnsi="仿宋" w:eastAsia="仿宋" w:cs="仿宋"/>
          <w:sz w:val="32"/>
          <w:szCs w:val="32"/>
        </w:rPr>
        <w:t>元；主持调解重大纠纷，达成协议且要素齐全的，每件补助</w:t>
      </w:r>
      <w:r>
        <w:rPr>
          <w:rFonts w:hint="eastAsia" w:ascii="仿宋" w:hAnsi="仿宋" w:eastAsia="仿宋" w:cs="仿宋"/>
          <w:sz w:val="32"/>
          <w:szCs w:val="32"/>
          <w:lang w:val="en-US" w:eastAsia="zh-CN"/>
        </w:rPr>
        <w:t>1000</w:t>
      </w:r>
      <w:r>
        <w:rPr>
          <w:rFonts w:hint="eastAsia" w:ascii="仿宋" w:hAnsi="仿宋" w:eastAsia="仿宋" w:cs="仿宋"/>
          <w:sz w:val="32"/>
          <w:szCs w:val="32"/>
        </w:rPr>
        <w:t>元。</w:t>
      </w:r>
      <w:r>
        <w:rPr>
          <w:rFonts w:hint="eastAsia" w:ascii="仿宋_GB2312" w:hAnsi="仿宋_GB2312" w:eastAsia="仿宋_GB2312" w:cs="仿宋_GB2312"/>
          <w:sz w:val="32"/>
          <w:szCs w:val="40"/>
        </w:rPr>
        <w:t>同一纠纷需重新调解，不再</w:t>
      </w:r>
      <w:r>
        <w:rPr>
          <w:rFonts w:hint="eastAsia" w:ascii="仿宋_GB2312" w:hAnsi="仿宋_GB2312" w:eastAsia="仿宋_GB2312" w:cs="仿宋_GB2312"/>
          <w:sz w:val="32"/>
          <w:szCs w:val="40"/>
          <w:lang w:eastAsia="zh-CN"/>
        </w:rPr>
        <w:t>重复</w:t>
      </w:r>
      <w:r>
        <w:rPr>
          <w:rFonts w:hint="eastAsia" w:ascii="仿宋_GB2312" w:hAnsi="仿宋_GB2312" w:eastAsia="仿宋_GB2312" w:cs="仿宋_GB2312"/>
          <w:sz w:val="32"/>
          <w:szCs w:val="40"/>
        </w:rPr>
        <w:t>发放案件调解补贴。</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22" w:firstLineChars="200"/>
        <w:jc w:val="both"/>
        <w:textAlignment w:val="auto"/>
      </w:pPr>
      <w:r>
        <w:rPr>
          <w:rFonts w:ascii="仿宋" w:hAnsi="仿宋" w:eastAsia="仿宋" w:cs="仿宋"/>
          <w:b/>
          <w:color w:val="000000"/>
          <w:kern w:val="0"/>
          <w:sz w:val="31"/>
          <w:szCs w:val="31"/>
          <w:lang w:val="en-US" w:eastAsia="zh-CN" w:bidi="ar"/>
        </w:rPr>
        <w:t>第十一条</w:t>
      </w:r>
      <w:r>
        <w:rPr>
          <w:rFonts w:hint="eastAsia" w:ascii="仿宋" w:hAnsi="仿宋" w:eastAsia="仿宋" w:cs="仿宋"/>
          <w:b/>
          <w:color w:val="000000"/>
          <w:kern w:val="0"/>
          <w:sz w:val="31"/>
          <w:szCs w:val="31"/>
          <w:lang w:val="en-US" w:eastAsia="zh-CN" w:bidi="ar"/>
        </w:rPr>
        <w:t xml:space="preserve">  </w:t>
      </w:r>
      <w:r>
        <w:rPr>
          <w:rFonts w:hint="eastAsia" w:ascii="仿宋" w:hAnsi="仿宋" w:eastAsia="仿宋" w:cs="仿宋"/>
          <w:color w:val="000000"/>
          <w:kern w:val="0"/>
          <w:sz w:val="31"/>
          <w:szCs w:val="31"/>
          <w:lang w:val="en-US" w:eastAsia="zh-CN" w:bidi="ar"/>
        </w:rPr>
        <w:t xml:space="preserve">发放以案定补资金的条件：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(一)主体合法；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(二)纠纷属于民间纠纷(违反治安管理条例或刑法的除外)；</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pPr>
      <w:r>
        <w:rPr>
          <w:rFonts w:hint="eastAsia" w:ascii="仿宋" w:hAnsi="仿宋" w:eastAsia="仿宋" w:cs="仿宋"/>
          <w:kern w:val="0"/>
          <w:sz w:val="32"/>
          <w:szCs w:val="32"/>
          <w:lang w:val="en-US" w:eastAsia="zh-CN" w:bidi="ar"/>
        </w:rPr>
        <w:t>(三)调解文书制作必须符合下列要求：1.案件事实清楚、证据充分；</w:t>
      </w:r>
      <w:r>
        <w:rPr>
          <w:rFonts w:hint="eastAsia" w:ascii="仿宋" w:hAnsi="仿宋" w:eastAsia="仿宋" w:cs="仿宋"/>
          <w:color w:val="000000"/>
          <w:kern w:val="0"/>
          <w:sz w:val="31"/>
          <w:szCs w:val="31"/>
          <w:lang w:val="en-US" w:eastAsia="zh-CN" w:bidi="ar"/>
        </w:rPr>
        <w:t xml:space="preserve">2.调解纠纷适用法律、法规准确、适当；3.调解协议书中双方当事人的权利义务明确，履行时间、地点 具体、详细；4.回访记录中记载协议的履行情况及当事人对纠纷调解的意见；5.签名、捺印、印章规范；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(四)卷宗制作规范。卷宗包括：双方当事人的调解申请书、民间纠纷受理调解登记表、调查笔录、调解笔录、调解协议书、回访记录、其他证据材料、司法确认案件附加人民法院裁定书、评估结论等；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(五)调解程序符合规定；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(六)其他要求。 </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条</w:t>
      </w:r>
      <w:r>
        <w:rPr>
          <w:rFonts w:hint="eastAsia" w:ascii="仿宋" w:hAnsi="仿宋" w:eastAsia="仿宋" w:cs="仿宋"/>
          <w:sz w:val="32"/>
          <w:szCs w:val="32"/>
          <w:lang w:val="en-US" w:eastAsia="zh-CN"/>
        </w:rPr>
        <w:t xml:space="preserve">  有下列情形之一的案件，不纳入补贴范围：</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（一）调解不成功或调解终止的；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（二）重复调解同一案件的；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（三）经人民法院或仲裁机构已作出生效裁判的；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（四）调解协议未履行的；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（五）其他不属于人民调解受理范围的案件。</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第十三条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调解员需在案件调解成功后30日内提交以下材料（一式两份）《人民调解员以案定补申报表》（需调委会负责人签字盖章）；调解协议书原件及复印件（需当事人签字/捺印，司法确认的需提供法院裁定书）</w:t>
      </w:r>
      <w:r>
        <w:rPr>
          <w:rFonts w:hint="eastAsia" w:ascii="仿宋" w:hAnsi="仿宋" w:eastAsia="仿宋" w:cs="仿宋"/>
          <w:sz w:val="32"/>
          <w:szCs w:val="32"/>
          <w:lang w:eastAsia="zh-CN"/>
        </w:rPr>
        <w:t>；</w:t>
      </w:r>
      <w:r>
        <w:rPr>
          <w:rFonts w:hint="eastAsia" w:ascii="仿宋" w:hAnsi="仿宋" w:eastAsia="仿宋" w:cs="仿宋"/>
          <w:sz w:val="32"/>
          <w:szCs w:val="32"/>
        </w:rPr>
        <w:t>调解过程记录（如调解笔录、影像资料等）；当事人对调解结果的确认书（可选，用于佐证协议履行情况）；其他证明材料（如跨区域调解证明、特殊群体身份证明等）。</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 w:hAnsi="仿宋" w:eastAsia="仿宋" w:cs="仿宋"/>
          <w:sz w:val="32"/>
          <w:szCs w:val="32"/>
        </w:rPr>
        <w:t xml:space="preserve"> </w:t>
      </w:r>
      <w:r>
        <w:rPr>
          <w:rFonts w:hint="eastAsia" w:ascii="仿宋" w:hAnsi="仿宋" w:eastAsia="仿宋" w:cs="仿宋"/>
          <w:b w:val="0"/>
          <w:bCs w:val="0"/>
          <w:sz w:val="32"/>
          <w:szCs w:val="32"/>
        </w:rPr>
        <w:t>“以案定补”</w:t>
      </w:r>
      <w:r>
        <w:rPr>
          <w:rFonts w:hint="eastAsia" w:ascii="仿宋" w:hAnsi="仿宋" w:eastAsia="仿宋" w:cs="仿宋"/>
          <w:b w:val="0"/>
          <w:bCs w:val="0"/>
          <w:sz w:val="32"/>
          <w:szCs w:val="32"/>
          <w:lang w:val="en-US" w:eastAsia="zh-CN"/>
        </w:rPr>
        <w:t>案卷审定</w:t>
      </w:r>
      <w:r>
        <w:rPr>
          <w:rFonts w:hint="eastAsia" w:ascii="仿宋" w:hAnsi="仿宋" w:eastAsia="仿宋" w:cs="仿宋"/>
          <w:b w:val="0"/>
          <w:bCs w:val="0"/>
          <w:sz w:val="32"/>
          <w:szCs w:val="32"/>
        </w:rPr>
        <w:t>采取</w:t>
      </w:r>
      <w:r>
        <w:rPr>
          <w:rFonts w:hint="eastAsia" w:ascii="仿宋" w:hAnsi="仿宋" w:eastAsia="仿宋" w:cs="仿宋"/>
          <w:b w:val="0"/>
          <w:bCs w:val="0"/>
          <w:sz w:val="32"/>
          <w:szCs w:val="32"/>
          <w:lang w:val="en-US" w:eastAsia="zh-CN"/>
        </w:rPr>
        <w:t>案件</w:t>
      </w:r>
      <w:r>
        <w:rPr>
          <w:rFonts w:hint="eastAsia" w:ascii="仿宋" w:hAnsi="仿宋" w:eastAsia="仿宋" w:cs="仿宋"/>
          <w:b w:val="0"/>
          <w:bCs w:val="0"/>
          <w:sz w:val="32"/>
          <w:szCs w:val="32"/>
        </w:rPr>
        <w:t>评议、审核卷宗、打电话询问、走访案件当事人等形式对纠纷案件进行评查，经审定后按规定核拨“以案定补”补贴资金。</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bCs/>
          <w:sz w:val="32"/>
          <w:szCs w:val="32"/>
        </w:rPr>
        <w:t>初审：</w:t>
      </w:r>
      <w:r>
        <w:rPr>
          <w:rFonts w:hint="eastAsia" w:ascii="仿宋" w:hAnsi="仿宋" w:eastAsia="仿宋" w:cs="仿宋"/>
          <w:b w:val="0"/>
          <w:bCs w:val="0"/>
          <w:color w:val="000000" w:themeColor="text1"/>
          <w:sz w:val="32"/>
          <w:szCs w:val="32"/>
          <w14:textFill>
            <w14:solidFill>
              <w14:schemeClr w14:val="tx1"/>
            </w14:solidFill>
          </w14:textFill>
        </w:rPr>
        <w:t>各乡镇司法所负责对辖区各行政村</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社区</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人民调解委员会调解成功</w:t>
      </w:r>
      <w:r>
        <w:rPr>
          <w:rFonts w:hint="eastAsia" w:ascii="仿宋" w:hAnsi="仿宋" w:eastAsia="仿宋" w:cs="仿宋"/>
          <w:b w:val="0"/>
          <w:bCs w:val="0"/>
          <w:color w:val="000000" w:themeColor="text1"/>
          <w:sz w:val="32"/>
          <w:szCs w:val="32"/>
          <w:lang w:eastAsia="zh-CN"/>
          <w14:textFill>
            <w14:solidFill>
              <w14:schemeClr w14:val="tx1"/>
            </w14:solidFill>
          </w14:textFill>
        </w:rPr>
        <w:t>的</w:t>
      </w:r>
      <w:r>
        <w:rPr>
          <w:rFonts w:hint="eastAsia" w:ascii="仿宋" w:hAnsi="仿宋" w:eastAsia="仿宋" w:cs="仿宋"/>
          <w:b w:val="0"/>
          <w:bCs w:val="0"/>
          <w:color w:val="000000" w:themeColor="text1"/>
          <w:sz w:val="32"/>
          <w:szCs w:val="32"/>
          <w14:textFill>
            <w14:solidFill>
              <w14:schemeClr w14:val="tx1"/>
            </w14:solidFill>
          </w14:textFill>
        </w:rPr>
        <w:t>案件</w:t>
      </w:r>
      <w:r>
        <w:rPr>
          <w:rFonts w:hint="eastAsia" w:ascii="仿宋" w:hAnsi="仿宋" w:eastAsia="仿宋" w:cs="仿宋"/>
          <w:b w:val="0"/>
          <w:bCs w:val="0"/>
          <w:color w:val="000000" w:themeColor="text1"/>
          <w:sz w:val="32"/>
          <w:szCs w:val="32"/>
          <w:lang w:eastAsia="zh-CN"/>
          <w14:textFill>
            <w14:solidFill>
              <w14:schemeClr w14:val="tx1"/>
            </w14:solidFill>
          </w14:textFill>
        </w:rPr>
        <w:t>进行初审，对案件</w:t>
      </w:r>
      <w:r>
        <w:rPr>
          <w:rFonts w:hint="eastAsia" w:ascii="仿宋" w:hAnsi="仿宋" w:eastAsia="仿宋" w:cs="仿宋"/>
          <w:color w:val="000000" w:themeColor="text1"/>
          <w:sz w:val="32"/>
          <w:szCs w:val="32"/>
          <w14:textFill>
            <w14:solidFill>
              <w14:schemeClr w14:val="tx1"/>
            </w14:solidFill>
          </w14:textFill>
        </w:rPr>
        <w:t>的真实性、完整性进行核查，重点核实调解程序合规性、协议有效性，</w:t>
      </w:r>
      <w:r>
        <w:rPr>
          <w:rFonts w:hint="eastAsia" w:ascii="仿宋" w:hAnsi="仿宋" w:eastAsia="仿宋" w:cs="仿宋"/>
          <w:b w:val="0"/>
          <w:bCs w:val="0"/>
          <w:color w:val="000000" w:themeColor="text1"/>
          <w:sz w:val="32"/>
          <w:szCs w:val="32"/>
          <w14:textFill>
            <w14:solidFill>
              <w14:schemeClr w14:val="tx1"/>
            </w14:solidFill>
          </w14:textFill>
        </w:rPr>
        <w:t>并在每季度最后一个月下旬10日内填写好《</w:t>
      </w:r>
      <w:r>
        <w:rPr>
          <w:rFonts w:hint="eastAsia" w:ascii="仿宋" w:hAnsi="仿宋" w:eastAsia="仿宋" w:cs="仿宋"/>
          <w:b w:val="0"/>
          <w:bCs w:val="0"/>
          <w:color w:val="000000" w:themeColor="text1"/>
          <w:sz w:val="32"/>
          <w:szCs w:val="32"/>
          <w:lang w:val="en-US" w:eastAsia="zh-CN"/>
          <w14:textFill>
            <w14:solidFill>
              <w14:schemeClr w14:val="tx1"/>
            </w14:solidFill>
          </w14:textFill>
        </w:rPr>
        <w:t>同德</w:t>
      </w:r>
      <w:r>
        <w:rPr>
          <w:rFonts w:hint="eastAsia" w:ascii="仿宋" w:hAnsi="仿宋" w:eastAsia="仿宋" w:cs="仿宋"/>
          <w:b w:val="0"/>
          <w:bCs w:val="0"/>
          <w:color w:val="000000" w:themeColor="text1"/>
          <w:sz w:val="32"/>
          <w:szCs w:val="32"/>
          <w14:textFill>
            <w14:solidFill>
              <w14:schemeClr w14:val="tx1"/>
            </w14:solidFill>
          </w14:textFill>
        </w:rPr>
        <w:t>县“以案定补”申领表》报送县司法局审核。</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复审：</w:t>
      </w:r>
      <w:r>
        <w:rPr>
          <w:rFonts w:hint="eastAsia" w:ascii="仿宋" w:hAnsi="仿宋" w:eastAsia="仿宋" w:cs="仿宋"/>
          <w:sz w:val="32"/>
          <w:szCs w:val="32"/>
        </w:rPr>
        <w:t>县级司法行政部门会同财政部门对申报案件进行</w:t>
      </w:r>
      <w:r>
        <w:rPr>
          <w:rFonts w:hint="eastAsia" w:ascii="仿宋" w:hAnsi="仿宋" w:eastAsia="仿宋" w:cs="仿宋"/>
          <w:sz w:val="32"/>
          <w:szCs w:val="32"/>
          <w:lang w:val="en-US" w:eastAsia="zh-CN"/>
        </w:rPr>
        <w:t>复审</w:t>
      </w:r>
      <w:r>
        <w:rPr>
          <w:rFonts w:hint="eastAsia" w:ascii="仿宋" w:hAnsi="仿宋" w:eastAsia="仿宋" w:cs="仿宋"/>
          <w:sz w:val="32"/>
          <w:szCs w:val="32"/>
        </w:rPr>
        <w:t>，重点核查案件难度、补贴标准适用是否准确，复审通过后形成拟补贴清单。</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公示：</w:t>
      </w:r>
      <w:r>
        <w:rPr>
          <w:rFonts w:hint="eastAsia" w:ascii="仿宋" w:hAnsi="仿宋" w:eastAsia="仿宋" w:cs="仿宋"/>
          <w:sz w:val="32"/>
          <w:szCs w:val="32"/>
        </w:rPr>
        <w:t>拟补贴清单在县级司法行政部门</w:t>
      </w:r>
      <w:r>
        <w:rPr>
          <w:rFonts w:hint="eastAsia" w:ascii="仿宋" w:hAnsi="仿宋" w:eastAsia="仿宋" w:cs="仿宋"/>
          <w:sz w:val="32"/>
          <w:szCs w:val="32"/>
          <w:lang w:val="en-US" w:eastAsia="zh-CN"/>
        </w:rPr>
        <w:t>信息平台和</w:t>
      </w:r>
      <w:r>
        <w:rPr>
          <w:rFonts w:hint="eastAsia" w:ascii="仿宋" w:hAnsi="仿宋" w:eastAsia="仿宋" w:cs="仿宋"/>
          <w:sz w:val="32"/>
          <w:szCs w:val="32"/>
        </w:rPr>
        <w:t>调委会公示栏公示5个工作日，接受社会监督。对异议事项需重新核查，异议不成立的书面告知申请人。</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条</w:t>
      </w:r>
      <w:r>
        <w:rPr>
          <w:rFonts w:hint="eastAsia" w:ascii="仿宋" w:hAnsi="仿宋" w:eastAsia="仿宋" w:cs="仿宋"/>
          <w:sz w:val="32"/>
          <w:szCs w:val="32"/>
        </w:rPr>
        <w:t xml:space="preserve">  有下列情况之一的，县司法局有权单方解聘专职人民调解员责令所辖司法所追回所发当月基础补贴和案补，并依法追究相关责任人的责任；情节严重，涉嫌构成犯罪的，移送司法机关处理：</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（一）侵占、挪用人民调解工作经费补贴的；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（二）弄虚作假、一案多报、老案重补、虚报案件、制作假调解案件、骗取套取经费补贴的；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（三）调解协议被人民法院、仲裁机关撤销或认定无效的；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（四）违反案件等级认定标准申报案件补贴的；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（五）违反人民调解工作要求，经查证属实的；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（六）违反工作纪律或者当事人举报后经查证属实的；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（七）因人民调解员故意或者重大过失导致协议无效的；</w:t>
      </w:r>
    </w:p>
    <w:p>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（八）其他违反法律法规和政策规定的情形。</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第十六条</w:t>
      </w:r>
      <w:r>
        <w:rPr>
          <w:rFonts w:hint="eastAsia" w:ascii="仿宋" w:hAnsi="仿宋" w:eastAsia="仿宋" w:cs="仿宋"/>
          <w:kern w:val="2"/>
          <w:sz w:val="32"/>
          <w:szCs w:val="32"/>
          <w:lang w:val="en-US" w:eastAsia="zh-CN" w:bidi="ar-SA"/>
        </w:rPr>
        <w:t xml:space="preserve">  “以案定补”补贴每半年发放一次。为确保专款专用，补贴发放原则上采取“一卡通”的形式直接发放到调解员个人账户，不得转入单位实有账户。</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第十七条</w:t>
      </w:r>
      <w:r>
        <w:rPr>
          <w:rFonts w:hint="eastAsia" w:ascii="仿宋" w:hAnsi="仿宋" w:eastAsia="仿宋" w:cs="仿宋"/>
          <w:kern w:val="2"/>
          <w:sz w:val="32"/>
          <w:szCs w:val="32"/>
          <w:lang w:val="en-US" w:eastAsia="zh-CN" w:bidi="ar-SA"/>
        </w:rPr>
        <w:t>　严格调解案件补贴的发放纪律，调解案件补贴发放按照“一案一补”的要求，严禁在申请补贴时弄虚作假，对谎报、虚报案件骗取、套取补贴资金的，除追回被骗取、套取的补贴外，报县纪检监察部门按有关规定严肃追究相关人员的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八</w:t>
      </w:r>
      <w:r>
        <w:rPr>
          <w:rFonts w:hint="eastAsia" w:ascii="仿宋" w:hAnsi="仿宋" w:eastAsia="仿宋" w:cs="仿宋"/>
          <w:b/>
          <w:bCs/>
          <w:sz w:val="32"/>
          <w:szCs w:val="32"/>
        </w:rPr>
        <w:t>条</w:t>
      </w:r>
      <w:r>
        <w:rPr>
          <w:rFonts w:hint="eastAsia" w:ascii="仿宋" w:hAnsi="仿宋" w:eastAsia="仿宋" w:cs="仿宋"/>
          <w:b w:val="0"/>
          <w:bCs w:val="0"/>
          <w:sz w:val="32"/>
          <w:szCs w:val="32"/>
        </w:rPr>
        <w:t xml:space="preserve">  本办法由</w:t>
      </w:r>
      <w:r>
        <w:rPr>
          <w:rFonts w:hint="eastAsia" w:ascii="仿宋" w:hAnsi="仿宋" w:eastAsia="仿宋" w:cs="仿宋"/>
          <w:b w:val="0"/>
          <w:bCs w:val="0"/>
          <w:sz w:val="32"/>
          <w:szCs w:val="32"/>
          <w:lang w:val="en-US" w:eastAsia="zh-CN"/>
        </w:rPr>
        <w:t>同</w:t>
      </w:r>
      <w:r>
        <w:rPr>
          <w:rFonts w:hint="eastAsia" w:ascii="仿宋" w:hAnsi="仿宋" w:eastAsia="仿宋" w:cs="仿宋"/>
          <w:b w:val="0"/>
          <w:bCs w:val="0"/>
          <w:sz w:val="32"/>
          <w:szCs w:val="32"/>
        </w:rPr>
        <w:t>德县司法局、财政局负责解释</w:t>
      </w:r>
      <w:r>
        <w:rPr>
          <w:rFonts w:hint="eastAsia" w:ascii="仿宋" w:hAnsi="仿宋" w:eastAsia="仿宋" w:cs="仿宋"/>
          <w:b w:val="0"/>
          <w:bCs w:val="0"/>
          <w:sz w:val="32"/>
          <w:szCs w:val="32"/>
          <w:lang w:eastAsia="zh-CN"/>
        </w:rPr>
        <w:t>，具体实施过程中发现的其他问题，按国家和省州有关规定及下发补充规定后执行</w:t>
      </w:r>
      <w:r>
        <w:rPr>
          <w:rFonts w:hint="eastAsia" w:ascii="仿宋" w:hAnsi="仿宋" w:eastAsia="仿宋" w:cs="仿宋"/>
          <w:b w:val="0"/>
          <w:bCs w:val="0"/>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hint="default" w:ascii="仿宋" w:hAnsi="仿宋" w:eastAsia="仿宋" w:cs="仿宋"/>
          <w:b w:val="0"/>
          <w:bCs w:val="0"/>
          <w:sz w:val="32"/>
          <w:szCs w:val="32"/>
        </w:rPr>
      </w:pPr>
      <w:r>
        <w:rPr>
          <w:rFonts w:hint="eastAsia" w:ascii="仿宋" w:hAnsi="仿宋" w:eastAsia="仿宋" w:cs="仿宋"/>
          <w:b/>
          <w:bCs/>
          <w:sz w:val="32"/>
          <w:szCs w:val="32"/>
        </w:rPr>
        <w:t>第十</w:t>
      </w:r>
      <w:r>
        <w:rPr>
          <w:rFonts w:hint="eastAsia" w:ascii="仿宋" w:hAnsi="仿宋" w:eastAsia="仿宋" w:cs="仿宋"/>
          <w:b/>
          <w:bCs/>
          <w:sz w:val="32"/>
          <w:szCs w:val="32"/>
          <w:lang w:val="en-US" w:eastAsia="zh-CN"/>
        </w:rPr>
        <w:t>九</w:t>
      </w:r>
      <w:r>
        <w:rPr>
          <w:rFonts w:hint="eastAsia" w:ascii="仿宋" w:hAnsi="仿宋" w:eastAsia="仿宋" w:cs="仿宋"/>
          <w:b/>
          <w:bCs/>
          <w:sz w:val="32"/>
          <w:szCs w:val="32"/>
        </w:rPr>
        <w:t>条</w:t>
      </w:r>
      <w:r>
        <w:rPr>
          <w:rFonts w:hint="eastAsia" w:ascii="仿宋" w:hAnsi="仿宋" w:eastAsia="仿宋" w:cs="仿宋"/>
          <w:b w:val="0"/>
          <w:bCs w:val="0"/>
          <w:sz w:val="32"/>
          <w:szCs w:val="32"/>
        </w:rPr>
        <w:t>  本办法自</w:t>
      </w:r>
      <w:r>
        <w:rPr>
          <w:rFonts w:hint="eastAsia" w:ascii="仿宋" w:hAnsi="仿宋" w:eastAsia="仿宋" w:cs="仿宋"/>
          <w:b w:val="0"/>
          <w:bCs w:val="0"/>
          <w:sz w:val="32"/>
          <w:szCs w:val="32"/>
          <w:lang w:val="en-US" w:eastAsia="zh-CN"/>
        </w:rPr>
        <w:t xml:space="preserve">  年  月  日起施行</w:t>
      </w:r>
      <w:r>
        <w:rPr>
          <w:rFonts w:hint="eastAsia" w:ascii="仿宋" w:hAnsi="仿宋" w:eastAsia="仿宋" w:cs="仿宋"/>
          <w:b w:val="0"/>
          <w:bCs w:val="0"/>
          <w:sz w:val="32"/>
          <w:szCs w:val="32"/>
        </w:rPr>
        <w:t>，有效期</w:t>
      </w:r>
      <w:r>
        <w:rPr>
          <w:rFonts w:hint="eastAsia" w:ascii="仿宋" w:hAnsi="仿宋" w:eastAsia="仿宋" w:cs="仿宋"/>
          <w:b w:val="0"/>
          <w:bCs w:val="0"/>
          <w:sz w:val="32"/>
          <w:szCs w:val="32"/>
          <w:lang w:eastAsia="zh-CN"/>
        </w:rPr>
        <w:t>至</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月  日</w:t>
      </w:r>
      <w:r>
        <w:rPr>
          <w:rFonts w:hint="eastAsia" w:ascii="仿宋" w:hAnsi="仿宋" w:eastAsia="仿宋" w:cs="仿宋"/>
          <w:b w:val="0"/>
          <w:bCs w:val="0"/>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eastAsia" w:ascii="黑体" w:hAnsi="黑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ind w:firstLine="620" w:firstLineChars="200"/>
        <w:jc w:val="left"/>
        <w:textAlignment w:val="auto"/>
        <w:rPr>
          <w:rFonts w:ascii="仿宋" w:hAnsi="仿宋" w:eastAsia="仿宋" w:cs="仿宋"/>
          <w:color w:val="000000"/>
          <w:kern w:val="0"/>
          <w:sz w:val="31"/>
          <w:szCs w:val="31"/>
          <w:lang w:val="en-US" w:eastAsia="zh-CN" w:bidi="ar"/>
        </w:rPr>
      </w:pPr>
      <w:r>
        <w:rPr>
          <w:rFonts w:hint="eastAsia" w:ascii="黑体" w:hAnsi="黑体" w:eastAsia="黑体" w:cs="黑体"/>
          <w:color w:val="000000"/>
          <w:kern w:val="0"/>
          <w:sz w:val="31"/>
          <w:szCs w:val="31"/>
          <w:lang w:val="en-US" w:eastAsia="zh-CN" w:bidi="ar"/>
        </w:rPr>
        <w:t>附件：</w:t>
      </w:r>
      <w:r>
        <w:rPr>
          <w:rFonts w:ascii="仿宋" w:hAnsi="仿宋" w:eastAsia="仿宋" w:cs="仿宋"/>
          <w:color w:val="000000"/>
          <w:kern w:val="0"/>
          <w:sz w:val="31"/>
          <w:szCs w:val="31"/>
          <w:lang w:val="en-US" w:eastAsia="zh-CN" w:bidi="ar"/>
        </w:rPr>
        <w:t>1.民间纠纷受理调解登记表</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1550" w:firstLineChars="500"/>
        <w:jc w:val="left"/>
        <w:textAlignment w:val="auto"/>
      </w:pPr>
      <w:r>
        <w:rPr>
          <w:rFonts w:hint="eastAsia" w:ascii="仿宋" w:hAnsi="仿宋" w:eastAsia="仿宋" w:cs="仿宋"/>
          <w:color w:val="000000"/>
          <w:kern w:val="0"/>
          <w:sz w:val="31"/>
          <w:szCs w:val="31"/>
          <w:lang w:val="en-US" w:eastAsia="zh-CN" w:bidi="ar"/>
        </w:rPr>
        <w:t>2.同德县人民调解“以案定补”审领表</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both"/>
        <w:textAlignment w:val="auto"/>
      </w:pPr>
    </w:p>
    <w:p>
      <w:pPr>
        <w:tabs>
          <w:tab w:val="left" w:pos="7237"/>
        </w:tabs>
        <w:bidi w:val="0"/>
        <w:jc w:val="left"/>
        <w:rPr>
          <w:rFonts w:hint="eastAsia"/>
          <w:lang w:val="en-US" w:eastAsia="zh-CN"/>
        </w:rPr>
        <w:sectPr>
          <w:footerReference r:id="rId3" w:type="default"/>
          <w:pgSz w:w="11906" w:h="16838"/>
          <w:pgMar w:top="2098" w:right="1474" w:bottom="1984" w:left="1587" w:header="851" w:footer="992" w:gutter="0"/>
          <w:pgNumType w:fmt="numberInDash"/>
          <w:cols w:space="425" w:num="1"/>
          <w:docGrid w:type="lines" w:linePitch="312" w:charSpace="0"/>
        </w:sectPr>
      </w:pPr>
    </w:p>
    <w:p>
      <w:pPr>
        <w:keepNext w:val="0"/>
        <w:keepLines w:val="0"/>
        <w:widowControl/>
        <w:suppressLineNumbers w:val="0"/>
        <w:jc w:val="center"/>
        <w:rPr>
          <w:sz w:val="38"/>
        </w:rPr>
      </w:pPr>
      <w:r>
        <w:rPr>
          <w:rFonts w:hint="eastAsia" w:ascii="黑体" w:hAnsi="黑体" w:eastAsia="黑体" w:cs="黑体"/>
          <w:color w:val="000000"/>
          <w:kern w:val="0"/>
          <w:sz w:val="32"/>
          <w:szCs w:val="32"/>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-126365</wp:posOffset>
                </wp:positionH>
                <wp:positionV relativeFrom="paragraph">
                  <wp:posOffset>-760095</wp:posOffset>
                </wp:positionV>
                <wp:extent cx="935355" cy="458470"/>
                <wp:effectExtent l="4445" t="4445" r="12700" b="13335"/>
                <wp:wrapNone/>
                <wp:docPr id="11" name="文本框 11"/>
                <wp:cNvGraphicFramePr/>
                <a:graphic xmlns:a="http://schemas.openxmlformats.org/drawingml/2006/main">
                  <a:graphicData uri="http://schemas.microsoft.com/office/word/2010/wordprocessingShape">
                    <wps:wsp>
                      <wps:cNvSpPr txBox="1"/>
                      <wps:spPr>
                        <a:xfrm>
                          <a:off x="1133475" y="247650"/>
                          <a:ext cx="935355" cy="45847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95pt;margin-top:-59.85pt;height:36.1pt;width:73.65pt;z-index:251661312;mso-width-relative:page;mso-height-relative:page;" fillcolor="#FFFFFF [3201]" filled="t" stroked="t" coordsize="21600,21600" o:gfxdata="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WAAAA&#10;ZHJzL1BLAQIUABQAAAAIAIdO4kDyFxEY2gAAAAwBAAAPAAAAAAAAAAEAIAAAADgAAABkcnMvZG93&#10;bnJldi54bWxQSwECFAAUAAAACACHTuJAus4/2VoCAADEBAAADgAAAAAAAAABACAAAAA/AQAAZHJz&#10;L2Uyb0RvYy54bWxQSwUGAAAAAAYABgBZAQAACwYAAAAA&#10;">
                <v:fill on="t" focussize="0,0"/>
                <v:stroke weight="0.5pt" color="#FFFFFF [3212]" joinstyle="round"/>
                <v:imagedata o:title=""/>
                <o:lock v:ext="edit" aspectratio="f"/>
                <v:textbox>
                  <w:txbxContent>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txbxContent>
                </v:textbox>
              </v:shape>
            </w:pict>
          </mc:Fallback>
        </mc:AlternateContent>
      </w:r>
      <w:r>
        <w:rPr>
          <w:rFonts w:hint="eastAsia" w:ascii="黑体" w:hAnsi="黑体" w:eastAsia="黑体" w:cs="黑体"/>
          <w:color w:val="000000"/>
          <w:kern w:val="0"/>
          <w:sz w:val="32"/>
          <w:szCs w:val="32"/>
          <w:lang w:val="en-US" w:eastAsia="zh-CN" w:bidi="ar"/>
        </w:rPr>
        <w:t>同德县人民调解案件受理调解登记表</w:t>
      </w:r>
    </w:p>
    <w:p>
      <w:pPr>
        <w:wordWrap w:val="0"/>
        <w:spacing w:before="0" w:after="0" w:line="92" w:lineRule="auto"/>
        <w:ind w:firstLine="0"/>
        <w:jc w:val="both"/>
        <w:rPr>
          <w:rFonts w:hint="eastAsia" w:ascii="宋体" w:hAnsi="宋体" w:eastAsia="宋体"/>
          <w:color w:val="000000"/>
          <w:sz w:val="12"/>
        </w:rPr>
      </w:pPr>
    </w:p>
    <w:tbl>
      <w:tblPr>
        <w:tblStyle w:val="5"/>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478"/>
        <w:gridCol w:w="445"/>
        <w:gridCol w:w="1200"/>
        <w:gridCol w:w="623"/>
        <w:gridCol w:w="538"/>
        <w:gridCol w:w="522"/>
        <w:gridCol w:w="2596"/>
        <w:gridCol w:w="889"/>
        <w:gridCol w:w="2706"/>
        <w:gridCol w:w="1395"/>
        <w:gridCol w:w="1364"/>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923"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受理</w:t>
            </w:r>
          </w:p>
        </w:tc>
        <w:tc>
          <w:tcPr>
            <w:tcW w:w="1200"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当事人</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姓名</w:t>
            </w:r>
          </w:p>
        </w:tc>
        <w:tc>
          <w:tcPr>
            <w:tcW w:w="623"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性别</w:t>
            </w:r>
          </w:p>
        </w:tc>
        <w:tc>
          <w:tcPr>
            <w:tcW w:w="538"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年龄</w:t>
            </w:r>
          </w:p>
        </w:tc>
        <w:tc>
          <w:tcPr>
            <w:tcW w:w="522"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民族</w:t>
            </w:r>
          </w:p>
        </w:tc>
        <w:tc>
          <w:tcPr>
            <w:tcW w:w="2596"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住  址</w:t>
            </w:r>
          </w:p>
        </w:tc>
        <w:tc>
          <w:tcPr>
            <w:tcW w:w="889"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职业</w:t>
            </w:r>
          </w:p>
        </w:tc>
        <w:tc>
          <w:tcPr>
            <w:tcW w:w="2706"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案  由</w:t>
            </w:r>
          </w:p>
        </w:tc>
        <w:tc>
          <w:tcPr>
            <w:tcW w:w="1395"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受理单位</w:t>
            </w:r>
          </w:p>
        </w:tc>
        <w:tc>
          <w:tcPr>
            <w:tcW w:w="1364" w:type="dxa"/>
            <w:vMerge w:val="restar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调解单位</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45" w:hRule="atLeast"/>
        </w:trPr>
        <w:tc>
          <w:tcPr>
            <w:tcW w:w="47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月</w:t>
            </w:r>
          </w:p>
        </w:tc>
        <w:tc>
          <w:tcPr>
            <w:tcW w:w="44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日</w:t>
            </w:r>
          </w:p>
        </w:tc>
        <w:tc>
          <w:tcPr>
            <w:tcW w:w="1200" w:type="dxa"/>
            <w:vMerge w:val="continue"/>
            <w:tcBorders>
              <w:top w:val="single" w:color="000000" w:sz="4" w:space="0"/>
              <w:left w:val="single" w:color="000000" w:sz="4" w:space="0"/>
              <w:bottom w:val="single" w:color="000000" w:sz="4" w:space="0"/>
              <w:right w:val="single" w:color="000000" w:sz="4" w:space="0"/>
            </w:tcBorders>
          </w:tcPr>
          <w:p/>
        </w:tc>
        <w:tc>
          <w:tcPr>
            <w:tcW w:w="623" w:type="dxa"/>
            <w:vMerge w:val="continue"/>
            <w:tcBorders>
              <w:top w:val="single" w:color="000000" w:sz="4" w:space="0"/>
              <w:left w:val="single" w:color="000000" w:sz="4" w:space="0"/>
              <w:bottom w:val="single" w:color="000000" w:sz="4" w:space="0"/>
              <w:right w:val="single" w:color="000000" w:sz="4" w:space="0"/>
            </w:tcBorders>
          </w:tcPr>
          <w:p/>
        </w:tc>
        <w:tc>
          <w:tcPr>
            <w:tcW w:w="538" w:type="dxa"/>
            <w:vMerge w:val="continue"/>
            <w:tcBorders>
              <w:top w:val="single" w:color="000000" w:sz="4" w:space="0"/>
              <w:left w:val="single" w:color="000000" w:sz="4" w:space="0"/>
              <w:bottom w:val="single" w:color="000000" w:sz="4" w:space="0"/>
              <w:right w:val="single" w:color="000000" w:sz="4" w:space="0"/>
            </w:tcBorders>
          </w:tcPr>
          <w:p/>
        </w:tc>
        <w:tc>
          <w:tcPr>
            <w:tcW w:w="522" w:type="dxa"/>
            <w:vMerge w:val="continue"/>
            <w:tcBorders>
              <w:top w:val="single" w:color="000000" w:sz="4" w:space="0"/>
              <w:left w:val="single" w:color="000000" w:sz="4" w:space="0"/>
              <w:bottom w:val="single" w:color="000000" w:sz="4" w:space="0"/>
              <w:right w:val="single" w:color="000000" w:sz="4" w:space="0"/>
            </w:tcBorders>
          </w:tcPr>
          <w:p/>
        </w:tc>
        <w:tc>
          <w:tcPr>
            <w:tcW w:w="2596" w:type="dxa"/>
            <w:vMerge w:val="continue"/>
            <w:tcBorders>
              <w:top w:val="single" w:color="000000" w:sz="4" w:space="0"/>
              <w:left w:val="single" w:color="000000" w:sz="4" w:space="0"/>
              <w:bottom w:val="single" w:color="000000" w:sz="4" w:space="0"/>
              <w:right w:val="single" w:color="000000" w:sz="4" w:space="0"/>
            </w:tcBorders>
          </w:tcPr>
          <w:p/>
        </w:tc>
        <w:tc>
          <w:tcPr>
            <w:tcW w:w="889" w:type="dxa"/>
            <w:vMerge w:val="continue"/>
            <w:tcBorders>
              <w:top w:val="single" w:color="000000" w:sz="4" w:space="0"/>
              <w:left w:val="single" w:color="000000" w:sz="4" w:space="0"/>
              <w:bottom w:val="single" w:color="000000" w:sz="4" w:space="0"/>
              <w:right w:val="single" w:color="000000" w:sz="4" w:space="0"/>
            </w:tcBorders>
          </w:tcPr>
          <w:p/>
        </w:tc>
        <w:tc>
          <w:tcPr>
            <w:tcW w:w="2706" w:type="dxa"/>
            <w:vMerge w:val="continue"/>
            <w:tcBorders>
              <w:top w:val="single" w:color="000000" w:sz="4" w:space="0"/>
              <w:left w:val="single" w:color="000000" w:sz="4" w:space="0"/>
              <w:bottom w:val="single" w:color="000000" w:sz="4" w:space="0"/>
              <w:right w:val="single" w:color="000000" w:sz="4" w:space="0"/>
            </w:tcBorders>
          </w:tcPr>
          <w:p/>
        </w:tc>
        <w:tc>
          <w:tcPr>
            <w:tcW w:w="1395" w:type="dxa"/>
            <w:vMerge w:val="continue"/>
            <w:tcBorders>
              <w:top w:val="single" w:color="000000" w:sz="4" w:space="0"/>
              <w:left w:val="single" w:color="000000" w:sz="4" w:space="0"/>
              <w:bottom w:val="single" w:color="000000" w:sz="4" w:space="0"/>
              <w:right w:val="single" w:color="000000" w:sz="4" w:space="0"/>
            </w:tcBorders>
          </w:tcPr>
          <w:p/>
        </w:tc>
        <w:tc>
          <w:tcPr>
            <w:tcW w:w="1364"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478"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64"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478" w:type="dxa"/>
            <w:vMerge w:val="continue"/>
            <w:tcBorders>
              <w:top w:val="single" w:color="000000" w:sz="4" w:space="0"/>
              <w:left w:val="single" w:color="000000" w:sz="4" w:space="0"/>
              <w:bottom w:val="single" w:color="000000" w:sz="4" w:space="0"/>
              <w:right w:val="single" w:color="000000" w:sz="4" w:space="0"/>
            </w:tcBorders>
          </w:tcPr>
          <w:p/>
        </w:tc>
        <w:tc>
          <w:tcPr>
            <w:tcW w:w="445" w:type="dxa"/>
            <w:vMerge w:val="continue"/>
            <w:tcBorders>
              <w:top w:val="single" w:color="000000" w:sz="4" w:space="0"/>
              <w:left w:val="single" w:color="000000" w:sz="4" w:space="0"/>
              <w:bottom w:val="single" w:color="000000" w:sz="4" w:space="0"/>
              <w:right w:val="single" w:color="000000" w:sz="4" w:space="0"/>
            </w:tcBorders>
          </w:tc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continue"/>
            <w:tcBorders>
              <w:top w:val="single" w:color="000000" w:sz="4" w:space="0"/>
              <w:left w:val="single" w:color="000000" w:sz="4" w:space="0"/>
              <w:bottom w:val="single" w:color="000000" w:sz="4" w:space="0"/>
              <w:right w:val="single" w:color="000000" w:sz="4" w:space="0"/>
            </w:tcBorders>
          </w:tcPr>
          <w:p/>
        </w:tc>
        <w:tc>
          <w:tcPr>
            <w:tcW w:w="1395" w:type="dxa"/>
            <w:vMerge w:val="continue"/>
            <w:tcBorders>
              <w:top w:val="single" w:color="000000" w:sz="4" w:space="0"/>
              <w:left w:val="single" w:color="000000" w:sz="4" w:space="0"/>
              <w:bottom w:val="single" w:color="000000" w:sz="4" w:space="0"/>
              <w:right w:val="single" w:color="000000" w:sz="4" w:space="0"/>
            </w:tcBorders>
          </w:tcPr>
          <w:p/>
        </w:tc>
        <w:tc>
          <w:tcPr>
            <w:tcW w:w="1364"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478"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64"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478" w:type="dxa"/>
            <w:vMerge w:val="continue"/>
            <w:tcBorders>
              <w:top w:val="single" w:color="000000" w:sz="4" w:space="0"/>
              <w:left w:val="single" w:color="000000" w:sz="4" w:space="0"/>
              <w:bottom w:val="single" w:color="000000" w:sz="4" w:space="0"/>
              <w:right w:val="single" w:color="000000" w:sz="4" w:space="0"/>
            </w:tcBorders>
          </w:tcPr>
          <w:p/>
        </w:tc>
        <w:tc>
          <w:tcPr>
            <w:tcW w:w="445" w:type="dxa"/>
            <w:vMerge w:val="continue"/>
            <w:tcBorders>
              <w:top w:val="single" w:color="000000" w:sz="4" w:space="0"/>
              <w:left w:val="single" w:color="000000" w:sz="4" w:space="0"/>
              <w:bottom w:val="single" w:color="000000" w:sz="4" w:space="0"/>
              <w:right w:val="single" w:color="000000" w:sz="4" w:space="0"/>
            </w:tcBorders>
          </w:tc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continue"/>
            <w:tcBorders>
              <w:top w:val="single" w:color="000000" w:sz="4" w:space="0"/>
              <w:left w:val="single" w:color="000000" w:sz="4" w:space="0"/>
              <w:bottom w:val="single" w:color="000000" w:sz="4" w:space="0"/>
              <w:right w:val="single" w:color="000000" w:sz="4" w:space="0"/>
            </w:tcBorders>
          </w:tcPr>
          <w:p/>
        </w:tc>
        <w:tc>
          <w:tcPr>
            <w:tcW w:w="1395" w:type="dxa"/>
            <w:vMerge w:val="continue"/>
            <w:tcBorders>
              <w:top w:val="single" w:color="000000" w:sz="4" w:space="0"/>
              <w:left w:val="single" w:color="000000" w:sz="4" w:space="0"/>
              <w:bottom w:val="single" w:color="000000" w:sz="4" w:space="0"/>
              <w:right w:val="single" w:color="000000" w:sz="4" w:space="0"/>
            </w:tcBorders>
          </w:tcPr>
          <w:p/>
        </w:tc>
        <w:tc>
          <w:tcPr>
            <w:tcW w:w="1364"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478"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64"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580" w:hRule="atLeast"/>
        </w:trPr>
        <w:tc>
          <w:tcPr>
            <w:tcW w:w="478" w:type="dxa"/>
            <w:vMerge w:val="continue"/>
            <w:tcBorders>
              <w:top w:val="single" w:color="000000" w:sz="4" w:space="0"/>
              <w:left w:val="single" w:color="000000" w:sz="4" w:space="0"/>
              <w:bottom w:val="single" w:color="000000" w:sz="4" w:space="0"/>
              <w:right w:val="single" w:color="000000" w:sz="4" w:space="0"/>
            </w:tcBorders>
          </w:tcPr>
          <w:p/>
        </w:tc>
        <w:tc>
          <w:tcPr>
            <w:tcW w:w="445" w:type="dxa"/>
            <w:vMerge w:val="continue"/>
            <w:tcBorders>
              <w:top w:val="single" w:color="000000" w:sz="4" w:space="0"/>
              <w:left w:val="single" w:color="000000" w:sz="4" w:space="0"/>
              <w:bottom w:val="single" w:color="000000" w:sz="4" w:space="0"/>
              <w:right w:val="single" w:color="000000" w:sz="4" w:space="0"/>
            </w:tcBorders>
          </w:tc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continue"/>
            <w:tcBorders>
              <w:top w:val="single" w:color="000000" w:sz="4" w:space="0"/>
              <w:left w:val="single" w:color="000000" w:sz="4" w:space="0"/>
              <w:bottom w:val="single" w:color="000000" w:sz="4" w:space="0"/>
              <w:right w:val="single" w:color="000000" w:sz="4" w:space="0"/>
            </w:tcBorders>
          </w:tcPr>
          <w:p/>
        </w:tc>
        <w:tc>
          <w:tcPr>
            <w:tcW w:w="1395" w:type="dxa"/>
            <w:vMerge w:val="continue"/>
            <w:tcBorders>
              <w:top w:val="single" w:color="000000" w:sz="4" w:space="0"/>
              <w:left w:val="single" w:color="000000" w:sz="4" w:space="0"/>
              <w:bottom w:val="single" w:color="000000" w:sz="4" w:space="0"/>
              <w:right w:val="single" w:color="000000" w:sz="4" w:space="0"/>
            </w:tcBorders>
          </w:tcPr>
          <w:p/>
        </w:tc>
        <w:tc>
          <w:tcPr>
            <w:tcW w:w="1364"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40" w:hRule="atLeast"/>
        </w:trPr>
        <w:tc>
          <w:tcPr>
            <w:tcW w:w="478"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95"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1364" w:type="dxa"/>
            <w:vMerge w:val="restart"/>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60" w:hRule="atLeast"/>
        </w:trPr>
        <w:tc>
          <w:tcPr>
            <w:tcW w:w="478" w:type="dxa"/>
            <w:vMerge w:val="continue"/>
            <w:tcBorders>
              <w:top w:val="single" w:color="000000" w:sz="4" w:space="0"/>
              <w:left w:val="single" w:color="000000" w:sz="4" w:space="0"/>
              <w:bottom w:val="single" w:color="000000" w:sz="4" w:space="0"/>
              <w:right w:val="single" w:color="000000" w:sz="4" w:space="0"/>
            </w:tcBorders>
          </w:tcPr>
          <w:p/>
        </w:tc>
        <w:tc>
          <w:tcPr>
            <w:tcW w:w="445" w:type="dxa"/>
            <w:vMerge w:val="continue"/>
            <w:tcBorders>
              <w:top w:val="single" w:color="000000" w:sz="4" w:space="0"/>
              <w:left w:val="single" w:color="000000" w:sz="4" w:space="0"/>
              <w:bottom w:val="single" w:color="000000" w:sz="4" w:space="0"/>
              <w:right w:val="single" w:color="000000" w:sz="4" w:space="0"/>
            </w:tcBorders>
          </w:tc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vMerge w:val="continue"/>
            <w:tcBorders>
              <w:top w:val="single" w:color="000000" w:sz="4" w:space="0"/>
              <w:left w:val="single" w:color="000000" w:sz="4" w:space="0"/>
              <w:bottom w:val="single" w:color="000000" w:sz="4" w:space="0"/>
              <w:right w:val="single" w:color="000000" w:sz="4" w:space="0"/>
            </w:tcBorders>
          </w:tcPr>
          <w:p/>
        </w:tc>
        <w:tc>
          <w:tcPr>
            <w:tcW w:w="1395" w:type="dxa"/>
            <w:vMerge w:val="continue"/>
            <w:tcBorders>
              <w:top w:val="single" w:color="000000" w:sz="4" w:space="0"/>
              <w:left w:val="single" w:color="000000" w:sz="4" w:space="0"/>
              <w:bottom w:val="single" w:color="000000" w:sz="4" w:space="0"/>
              <w:right w:val="single" w:color="000000" w:sz="4" w:space="0"/>
            </w:tcBorders>
          </w:tcPr>
          <w:p/>
        </w:tc>
        <w:tc>
          <w:tcPr>
            <w:tcW w:w="1364" w:type="dxa"/>
            <w:vMerge w:val="continue"/>
            <w:tcBorders>
              <w:top w:val="single" w:color="000000" w:sz="4" w:space="0"/>
              <w:left w:val="single" w:color="000000" w:sz="4" w:space="0"/>
              <w:bottom w:val="single" w:color="000000" w:sz="4" w:space="0"/>
              <w:right w:val="single" w:color="000000" w:sz="4" w:space="0"/>
            </w:tcBorders>
          </w:tc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660" w:hRule="atLeast"/>
        </w:trPr>
        <w:tc>
          <w:tcPr>
            <w:tcW w:w="478" w:type="dxa"/>
            <w:tcBorders>
              <w:top w:val="single" w:color="000000" w:sz="4" w:space="0"/>
              <w:left w:val="single" w:color="000000" w:sz="4" w:space="0"/>
              <w:bottom w:val="single" w:color="000000" w:sz="4" w:space="0"/>
              <w:right w:val="single" w:color="000000" w:sz="4" w:space="0"/>
            </w:tcBorders>
          </w:tcPr>
          <w:p/>
        </w:tc>
        <w:tc>
          <w:tcPr>
            <w:tcW w:w="445" w:type="dxa"/>
            <w:tcBorders>
              <w:top w:val="single" w:color="000000" w:sz="4" w:space="0"/>
              <w:left w:val="single" w:color="000000" w:sz="4" w:space="0"/>
              <w:bottom w:val="single" w:color="000000" w:sz="4" w:space="0"/>
              <w:right w:val="single" w:color="000000" w:sz="4" w:space="0"/>
            </w:tcBorders>
          </w:tcPr>
          <w:p/>
        </w:tc>
        <w:tc>
          <w:tcPr>
            <w:tcW w:w="1200"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623"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38"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522"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596"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889" w:type="dxa"/>
            <w:tcBorders>
              <w:top w:val="single" w:color="000000" w:sz="4" w:space="0"/>
              <w:left w:val="single" w:color="000000" w:sz="4" w:space="0"/>
              <w:bottom w:val="single" w:color="000000" w:sz="4" w:space="0"/>
              <w:right w:val="single" w:color="000000" w:sz="4" w:space="0"/>
            </w:tcBorders>
            <w:vAlign w:val="center"/>
          </w:tcPr>
          <w:p>
            <w:pPr>
              <w:wordWrap w:val="0"/>
              <w:spacing w:before="0" w:after="0" w:line="384" w:lineRule="auto"/>
              <w:ind w:firstLine="0"/>
              <w:jc w:val="both"/>
              <w:rPr>
                <w:rFonts w:hint="eastAsia" w:ascii="宋体" w:hAnsi="宋体" w:eastAsia="宋体"/>
                <w:color w:val="000000"/>
                <w:sz w:val="21"/>
              </w:rPr>
            </w:pPr>
          </w:p>
        </w:tc>
        <w:tc>
          <w:tcPr>
            <w:tcW w:w="2706" w:type="dxa"/>
            <w:tcBorders>
              <w:top w:val="single" w:color="000000" w:sz="4" w:space="0"/>
              <w:left w:val="single" w:color="000000" w:sz="4" w:space="0"/>
              <w:bottom w:val="single" w:color="000000" w:sz="4" w:space="0"/>
              <w:right w:val="single" w:color="000000" w:sz="4" w:space="0"/>
            </w:tcBorders>
          </w:tcPr>
          <w:p/>
        </w:tc>
        <w:tc>
          <w:tcPr>
            <w:tcW w:w="1395" w:type="dxa"/>
            <w:tcBorders>
              <w:top w:val="single" w:color="000000" w:sz="4" w:space="0"/>
              <w:left w:val="single" w:color="000000" w:sz="4" w:space="0"/>
              <w:bottom w:val="single" w:color="000000" w:sz="4" w:space="0"/>
              <w:right w:val="single" w:color="000000" w:sz="4" w:space="0"/>
            </w:tcBorders>
          </w:tcPr>
          <w:p/>
        </w:tc>
        <w:tc>
          <w:tcPr>
            <w:tcW w:w="1364" w:type="dxa"/>
            <w:tcBorders>
              <w:top w:val="single" w:color="000000" w:sz="4" w:space="0"/>
              <w:left w:val="single" w:color="000000" w:sz="4" w:space="0"/>
              <w:bottom w:val="single" w:color="000000" w:sz="4" w:space="0"/>
              <w:right w:val="single" w:color="000000" w:sz="4" w:space="0"/>
            </w:tcBorders>
          </w:tcPr>
          <w:p/>
        </w:tc>
      </w:tr>
    </w:tbl>
    <w:p>
      <w:pPr>
        <w:keepNext w:val="0"/>
        <w:keepLines w:val="0"/>
        <w:widowControl/>
        <w:suppressLineNumbers w:val="0"/>
        <w:jc w:val="center"/>
        <w:rPr>
          <w:rFonts w:hint="eastAsia" w:ascii="黑体" w:hAnsi="黑体" w:eastAsia="黑体" w:cs="黑体"/>
          <w:color w:val="000000"/>
          <w:kern w:val="0"/>
          <w:sz w:val="32"/>
          <w:szCs w:val="32"/>
          <w:lang w:val="en-US" w:eastAsia="zh-CN" w:bidi="ar"/>
        </w:rPr>
      </w:pPr>
    </w:p>
    <w:p>
      <w:pPr>
        <w:keepNext w:val="0"/>
        <w:keepLines w:val="0"/>
        <w:widowControl/>
        <w:suppressLineNumbers w:val="0"/>
        <w:jc w:val="center"/>
        <w:rPr>
          <w:rFonts w:hint="eastAsia" w:ascii="黑体" w:hAnsi="黑体" w:eastAsia="黑体" w:cs="黑体"/>
          <w:color w:val="000000"/>
          <w:kern w:val="0"/>
          <w:sz w:val="32"/>
          <w:szCs w:val="32"/>
          <w:lang w:val="en-US" w:eastAsia="zh-CN" w:bidi="ar"/>
        </w:rPr>
        <w:sectPr>
          <w:footerReference r:id="rId4" w:type="default"/>
          <w:pgSz w:w="16838" w:h="11906" w:orient="landscape"/>
          <w:pgMar w:top="1587" w:right="2098" w:bottom="1474" w:left="1984" w:header="851" w:footer="992" w:gutter="0"/>
          <w:pgNumType w:fmt="numberInDash"/>
          <w:cols w:space="0" w:num="1"/>
          <w:rtlGutter w:val="0"/>
          <w:docGrid w:type="lines" w:linePitch="315" w:charSpace="0"/>
        </w:sect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kern w:val="0"/>
          <w:sz w:val="32"/>
          <w:szCs w:val="32"/>
          <w:lang w:val="en-US" w:eastAsia="zh-CN" w:bidi="ar"/>
        </w:rPr>
      </w:pPr>
      <w:r>
        <w:rPr>
          <w:sz w:val="32"/>
        </w:rPr>
        <mc:AlternateContent>
          <mc:Choice Requires="wps">
            <w:drawing>
              <wp:anchor distT="0" distB="0" distL="114300" distR="114300" simplePos="0" relativeHeight="251660288" behindDoc="0" locked="0" layoutInCell="1" allowOverlap="1">
                <wp:simplePos x="0" y="0"/>
                <wp:positionH relativeFrom="column">
                  <wp:posOffset>-186690</wp:posOffset>
                </wp:positionH>
                <wp:positionV relativeFrom="paragraph">
                  <wp:posOffset>-784860</wp:posOffset>
                </wp:positionV>
                <wp:extent cx="1341755" cy="459105"/>
                <wp:effectExtent l="4445" t="4445" r="6350" b="12700"/>
                <wp:wrapNone/>
                <wp:docPr id="8" name="文本框 8"/>
                <wp:cNvGraphicFramePr/>
                <a:graphic xmlns:a="http://schemas.openxmlformats.org/drawingml/2006/main">
                  <a:graphicData uri="http://schemas.microsoft.com/office/word/2010/wordprocessingShape">
                    <wps:wsp>
                      <wps:cNvSpPr txBox="1"/>
                      <wps:spPr>
                        <a:xfrm>
                          <a:off x="1073150" y="222885"/>
                          <a:ext cx="1341755" cy="459105"/>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61.8pt;height:36.15pt;width:105.65pt;z-index:251660288;mso-width-relative:page;mso-height-relative:page;" fillcolor="#FFFFFF [3212]" filled="t" stroked="t" coordsize="21600,21600" o:gfxdata="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FgAA&#10;AGRycy9QSwECFAAUAAAACACHTuJAOucawdoAAAAMAQAADwAAAAAAAAABACAAAAA4AAAAZHJzL2Rv&#10;d25yZXYueG1sUEsBAhQAFAAAAAgAh07iQPlLjftbAgAAwwQAAA4AAAAAAAAAAQAgAAAAPwEAAGRy&#10;cy9lMm9Eb2MueG1sUEsFBgAAAAAGAAYAWQEAAAwGAAAAAA==&#10;">
                <v:fill on="t" focussize="0,0"/>
                <v:stroke weight="0.5pt" color="#FFFFFF [3212]" joinstyle="round"/>
                <v:imagedata o:title=""/>
                <o:lock v:ext="edit" aspectratio="f"/>
                <v:textbox>
                  <w:txbxContent>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txbxContent>
                </v:textbox>
              </v:shape>
            </w:pict>
          </mc:Fallback>
        </mc:AlternateContent>
      </w:r>
      <w:r>
        <w:rPr>
          <w:rFonts w:hint="eastAsia" w:ascii="黑体" w:hAnsi="黑体" w:eastAsia="黑体" w:cs="黑体"/>
          <w:color w:val="000000"/>
          <w:kern w:val="0"/>
          <w:sz w:val="32"/>
          <w:szCs w:val="32"/>
          <w:lang w:val="en-US" w:eastAsia="zh-CN" w:bidi="ar"/>
        </w:rPr>
        <w:t>同德县人民调解“以案定补”审领表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581"/>
        <w:gridCol w:w="1500"/>
        <w:gridCol w:w="1023"/>
        <w:gridCol w:w="859"/>
        <w:gridCol w:w="1023"/>
        <w:gridCol w:w="859"/>
        <w:gridCol w:w="845"/>
        <w:gridCol w:w="1894"/>
        <w:gridCol w:w="1979"/>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2"/>
                <w:szCs w:val="32"/>
                <w:vertAlign w:val="baseline"/>
                <w:lang w:val="en-US" w:eastAsia="zh-CN" w:bidi="ar"/>
              </w:rPr>
            </w:pPr>
            <w:r>
              <w:rPr>
                <w:rFonts w:hint="eastAsia" w:ascii="楷体_GB2312" w:hAnsi="楷体_GB2312" w:eastAsia="楷体_GB2312" w:cs="楷体_GB2312"/>
                <w:b/>
                <w:bCs/>
                <w:color w:val="000000"/>
                <w:kern w:val="0"/>
                <w:sz w:val="32"/>
                <w:szCs w:val="32"/>
                <w:vertAlign w:val="baseline"/>
                <w:lang w:val="en-US" w:eastAsia="zh-CN" w:bidi="ar"/>
              </w:rPr>
              <w:t>序号</w:t>
            </w: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2"/>
                <w:szCs w:val="32"/>
                <w:vertAlign w:val="baseline"/>
                <w:lang w:val="en-US" w:eastAsia="zh-CN" w:bidi="ar"/>
              </w:rPr>
            </w:pPr>
            <w:r>
              <w:rPr>
                <w:rFonts w:hint="eastAsia" w:ascii="楷体_GB2312" w:hAnsi="楷体_GB2312" w:eastAsia="楷体_GB2312" w:cs="楷体_GB2312"/>
                <w:b/>
                <w:bCs/>
                <w:color w:val="000000"/>
                <w:kern w:val="0"/>
                <w:sz w:val="32"/>
                <w:szCs w:val="32"/>
                <w:vertAlign w:val="baseline"/>
                <w:lang w:val="en-US" w:eastAsia="zh-CN" w:bidi="ar"/>
              </w:rPr>
              <w:t>调解组织</w:t>
            </w: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纠纷事由</w:t>
            </w: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案卷编号</w:t>
            </w: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案件程度</w:t>
            </w: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协议形式</w:t>
            </w: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调解员</w:t>
            </w: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申请金额</w:t>
            </w: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一卡通账号</w:t>
            </w: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领款人签名</w:t>
            </w: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color w:val="000000"/>
                <w:kern w:val="0"/>
                <w:sz w:val="31"/>
                <w:szCs w:val="31"/>
                <w:vertAlign w:val="baseline"/>
                <w:lang w:val="en-US" w:eastAsia="zh-CN" w:bidi="ar"/>
              </w:rPr>
            </w:pPr>
            <w:r>
              <w:rPr>
                <w:rFonts w:hint="eastAsia" w:ascii="楷体_GB2312" w:hAnsi="楷体_GB2312" w:eastAsia="楷体_GB2312" w:cs="楷体_GB2312"/>
                <w:b/>
                <w:bCs/>
                <w:color w:val="000000"/>
                <w:kern w:val="0"/>
                <w:sz w:val="31"/>
                <w:szCs w:val="31"/>
                <w:vertAlign w:val="baseli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81"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2"/>
                <w:szCs w:val="32"/>
                <w:vertAlign w:val="baseline"/>
                <w:lang w:val="en-US" w:eastAsia="zh-CN" w:bidi="ar"/>
              </w:rPr>
            </w:pPr>
          </w:p>
        </w:tc>
        <w:tc>
          <w:tcPr>
            <w:tcW w:w="15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023"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5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845"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894"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1979"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c>
          <w:tcPr>
            <w:tcW w:w="600" w:type="dxa"/>
          </w:tcPr>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kern w:val="0"/>
                <w:sz w:val="31"/>
                <w:szCs w:val="31"/>
                <w:vertAlign w:val="baseline"/>
                <w:lang w:val="en-US" w:eastAsia="zh-CN" w:bidi="ar"/>
              </w:rPr>
            </w:pPr>
          </w:p>
        </w:tc>
      </w:tr>
    </w:tbl>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pPr>
      <w:r>
        <w:rPr>
          <w:rFonts w:hint="eastAsia" w:ascii="仿宋_GB2312" w:hAnsi="仿宋_GB2312" w:eastAsia="仿宋_GB2312" w:cs="仿宋_GB2312"/>
          <w:color w:val="000000"/>
          <w:kern w:val="0"/>
          <w:sz w:val="31"/>
          <w:szCs w:val="31"/>
          <w:lang w:val="en-US" w:eastAsia="zh-CN" w:bidi="ar"/>
        </w:rPr>
        <w:t>填表人签字：                                                审核人签字：</w:t>
      </w:r>
      <w:bookmarkStart w:id="0" w:name="_GoBack"/>
      <w:bookmarkEnd w:id="0"/>
    </w:p>
    <w:sectPr>
      <w:footerReference r:id="rId5" w:type="default"/>
      <w:pgSz w:w="16838" w:h="11906" w:orient="landscape"/>
      <w:pgMar w:top="1587" w:right="2098" w:bottom="1474" w:left="1984"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国标黑体">
    <w:panose1 w:val="020005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2556510</wp:posOffset>
              </wp:positionH>
              <wp:positionV relativeFrom="paragraph">
                <wp:posOffset>-433070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1.3pt;margin-top:-34.1pt;height:144pt;width:144pt;mso-position-horizontal-relative:margin;mso-wrap-style:none;z-index:251659264;mso-width-relative:page;mso-height-relative:page;" filled="f" stroked="f" coordsize="21600,21600" o:gfxdata="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OlssdLYAAAACwEAAA8AAAAAAAAAAQAg&#10;AAAAOAAAAGRycy9kb3ducmV2LnhtbFBLAQIUABQAAAAIAIdO4kBrhfn7MQIAAGEEAAAOAAAAAAAA&#10;AAEAIAAAAD0BAABkcnMvZTJvRG9jLnhtbFBLBQYAAAAABgAGAFkBAADgBQAAAAA=&#10;">
              <v:fill on="f" focussize="0,0"/>
              <v:stroke on="f" weight="0.5pt"/>
              <v:imagedata o:title=""/>
              <o:lock v:ext="edit" aspectratio="f"/>
              <v:textbox inset="0mm,0mm,0mm,0mm" style="mso-fit-shape-to-text:t;">
                <w:txbxContent>
                  <w:p>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posOffset>2556510</wp:posOffset>
              </wp:positionH>
              <wp:positionV relativeFrom="paragraph">
                <wp:posOffset>-433070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1.3pt;margin-top:-34.1pt;height:144pt;width:144pt;mso-position-horizontal-relative:margin;mso-wrap-style:none;z-index:251662336;mso-width-relative:page;mso-height-relative:page;" filled="f" stroked="f" coordsize="21600,21600" o:gfxdata="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DpbLHS2AAAAAsBAAAPAAAAAAAAAAEA&#10;IAAAADgAAABkcnMvZG93bnJldi54bWxQSwECFAAUAAAACACHTuJAf46tETICAABhBAAADgAAAAAA&#10;AAABACAAAAA9AQAAZHJzL2Uyb0RvYy54bWxQSwUGAAAAAAYABgBZAQAA4QUAAAAA&#10;">
              <v:fill on="f" focussize="0,0"/>
              <v:stroke on="f" weight="0.5pt"/>
              <v:imagedata o:title=""/>
              <o:lock v:ext="edit" aspectratio="f"/>
              <v:textbox inset="0mm,0mm,0mm,0mm" style="mso-fit-shape-to-text:t;">
                <w:txbxContent>
                  <w:p>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A1F15"/>
    <w:rsid w:val="006560C3"/>
    <w:rsid w:val="029D66A4"/>
    <w:rsid w:val="096A1F15"/>
    <w:rsid w:val="0C4F3999"/>
    <w:rsid w:val="0F895414"/>
    <w:rsid w:val="0FBA737B"/>
    <w:rsid w:val="12042B30"/>
    <w:rsid w:val="143C4803"/>
    <w:rsid w:val="146938CB"/>
    <w:rsid w:val="159356C0"/>
    <w:rsid w:val="16FEA5C6"/>
    <w:rsid w:val="17130116"/>
    <w:rsid w:val="18CD0120"/>
    <w:rsid w:val="1A076555"/>
    <w:rsid w:val="1A2C70C8"/>
    <w:rsid w:val="1A3F7989"/>
    <w:rsid w:val="1B7F71B5"/>
    <w:rsid w:val="1BDF268D"/>
    <w:rsid w:val="1DB82823"/>
    <w:rsid w:val="1E2702D2"/>
    <w:rsid w:val="20C75D9C"/>
    <w:rsid w:val="22525B39"/>
    <w:rsid w:val="228D26CE"/>
    <w:rsid w:val="23111551"/>
    <w:rsid w:val="23B35621"/>
    <w:rsid w:val="26E756C0"/>
    <w:rsid w:val="27DE52C5"/>
    <w:rsid w:val="28DF7E10"/>
    <w:rsid w:val="28EF002E"/>
    <w:rsid w:val="29A21154"/>
    <w:rsid w:val="2A4346E5"/>
    <w:rsid w:val="2BBFF4B6"/>
    <w:rsid w:val="2EA119DB"/>
    <w:rsid w:val="30C9346B"/>
    <w:rsid w:val="319C0B7F"/>
    <w:rsid w:val="32C4213C"/>
    <w:rsid w:val="33CA19D4"/>
    <w:rsid w:val="33E67C3D"/>
    <w:rsid w:val="34BD32E6"/>
    <w:rsid w:val="37184804"/>
    <w:rsid w:val="371D1C2B"/>
    <w:rsid w:val="38E928FC"/>
    <w:rsid w:val="3A33DC63"/>
    <w:rsid w:val="3BFFC398"/>
    <w:rsid w:val="3C7D50E5"/>
    <w:rsid w:val="3D840E45"/>
    <w:rsid w:val="41641AFF"/>
    <w:rsid w:val="44472BCC"/>
    <w:rsid w:val="462431C5"/>
    <w:rsid w:val="476E1150"/>
    <w:rsid w:val="4D242A29"/>
    <w:rsid w:val="4D6D1282"/>
    <w:rsid w:val="4DD76212"/>
    <w:rsid w:val="4F876749"/>
    <w:rsid w:val="4F980780"/>
    <w:rsid w:val="50FF6F1E"/>
    <w:rsid w:val="51BB2504"/>
    <w:rsid w:val="532C190B"/>
    <w:rsid w:val="53511372"/>
    <w:rsid w:val="54FE514C"/>
    <w:rsid w:val="560E2DEE"/>
    <w:rsid w:val="56BB0B90"/>
    <w:rsid w:val="57BA79AB"/>
    <w:rsid w:val="5A9F714F"/>
    <w:rsid w:val="5CFF0158"/>
    <w:rsid w:val="5E3EAC99"/>
    <w:rsid w:val="645460FE"/>
    <w:rsid w:val="69DEF57C"/>
    <w:rsid w:val="6A5F7ACE"/>
    <w:rsid w:val="6BAE47D0"/>
    <w:rsid w:val="6BF5A7A3"/>
    <w:rsid w:val="6C861C34"/>
    <w:rsid w:val="6D7FC198"/>
    <w:rsid w:val="6DDC4468"/>
    <w:rsid w:val="6F1B8BA4"/>
    <w:rsid w:val="6FFB36F9"/>
    <w:rsid w:val="6FFFEF37"/>
    <w:rsid w:val="72EEFEC9"/>
    <w:rsid w:val="73090EC9"/>
    <w:rsid w:val="73762825"/>
    <w:rsid w:val="75B9B9C6"/>
    <w:rsid w:val="75FF7B7E"/>
    <w:rsid w:val="77762685"/>
    <w:rsid w:val="77CF4753"/>
    <w:rsid w:val="78CD4747"/>
    <w:rsid w:val="79EB7CC7"/>
    <w:rsid w:val="7B3735C7"/>
    <w:rsid w:val="7BDF9CA0"/>
    <w:rsid w:val="7BFF6DEB"/>
    <w:rsid w:val="7CB73744"/>
    <w:rsid w:val="7CF767E9"/>
    <w:rsid w:val="7D9D161F"/>
    <w:rsid w:val="7DE3EEA7"/>
    <w:rsid w:val="7DF8F495"/>
    <w:rsid w:val="7E9282DA"/>
    <w:rsid w:val="7EFF2D20"/>
    <w:rsid w:val="7EFF3DD0"/>
    <w:rsid w:val="7EFFBA8D"/>
    <w:rsid w:val="7F7F7BE6"/>
    <w:rsid w:val="7FBFD0AC"/>
    <w:rsid w:val="7FEF170C"/>
    <w:rsid w:val="7FF798BE"/>
    <w:rsid w:val="7FFB6656"/>
    <w:rsid w:val="97ED3E75"/>
    <w:rsid w:val="9F3E9BFE"/>
    <w:rsid w:val="9F5F2875"/>
    <w:rsid w:val="A39B067A"/>
    <w:rsid w:val="AEF720E3"/>
    <w:rsid w:val="B6F78604"/>
    <w:rsid w:val="B76F37DD"/>
    <w:rsid w:val="BBF7BA3C"/>
    <w:rsid w:val="BDBE5249"/>
    <w:rsid w:val="BE386300"/>
    <w:rsid w:val="BEBE6915"/>
    <w:rsid w:val="BF33A9E7"/>
    <w:rsid w:val="BFBF107C"/>
    <w:rsid w:val="BFDFA1DD"/>
    <w:rsid w:val="BFF7AE5A"/>
    <w:rsid w:val="BFFFA1DD"/>
    <w:rsid w:val="C7EA169C"/>
    <w:rsid w:val="CF7F21D8"/>
    <w:rsid w:val="D77A81B7"/>
    <w:rsid w:val="DBF7BCAD"/>
    <w:rsid w:val="DC7888FD"/>
    <w:rsid w:val="DD074E1E"/>
    <w:rsid w:val="DD7F2C6C"/>
    <w:rsid w:val="DDFB8C45"/>
    <w:rsid w:val="DDFF47C1"/>
    <w:rsid w:val="DEFFCF6D"/>
    <w:rsid w:val="DF7FB288"/>
    <w:rsid w:val="DFA52480"/>
    <w:rsid w:val="DFF759A8"/>
    <w:rsid w:val="DFFFBED2"/>
    <w:rsid w:val="DFFFF0AB"/>
    <w:rsid w:val="E2B6038E"/>
    <w:rsid w:val="E7F72CD5"/>
    <w:rsid w:val="EABD4A4F"/>
    <w:rsid w:val="EB2D0DF7"/>
    <w:rsid w:val="EB3FAAC9"/>
    <w:rsid w:val="EBF42367"/>
    <w:rsid w:val="EDF9C55D"/>
    <w:rsid w:val="EE5F7A2E"/>
    <w:rsid w:val="EEB9672F"/>
    <w:rsid w:val="EFAE56F4"/>
    <w:rsid w:val="EFEE1EF3"/>
    <w:rsid w:val="EFEF86AF"/>
    <w:rsid w:val="EFF7E7A6"/>
    <w:rsid w:val="EFFBDB51"/>
    <w:rsid w:val="F4BE344E"/>
    <w:rsid w:val="F4FFBA61"/>
    <w:rsid w:val="F5550228"/>
    <w:rsid w:val="F5872CE2"/>
    <w:rsid w:val="F5F967EC"/>
    <w:rsid w:val="F67F3C17"/>
    <w:rsid w:val="F6BC1681"/>
    <w:rsid w:val="F6FFF052"/>
    <w:rsid w:val="FBD6B90D"/>
    <w:rsid w:val="FBDF426C"/>
    <w:rsid w:val="FBF7DE8A"/>
    <w:rsid w:val="FE6FD0EA"/>
    <w:rsid w:val="FEAF6BA5"/>
    <w:rsid w:val="FEBCFCD6"/>
    <w:rsid w:val="FF7B7A06"/>
    <w:rsid w:val="FFB9A878"/>
    <w:rsid w:val="FFBE6F28"/>
    <w:rsid w:val="FFDFDF92"/>
    <w:rsid w:val="FFE24AA7"/>
    <w:rsid w:val="FFE4FCE1"/>
    <w:rsid w:val="FFEBC77E"/>
    <w:rsid w:val="FFEF4B9E"/>
    <w:rsid w:val="FFF36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1327</Words>
  <Characters>1348</Characters>
  <Lines>0</Lines>
  <Paragraphs>0</Paragraphs>
  <TotalTime>22</TotalTime>
  <ScaleCrop>false</ScaleCrop>
  <LinksUpToDate>false</LinksUpToDate>
  <CharactersWithSpaces>1370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2025-01-17T11:57:00Z</dcterms:created>
  <dc:creator>lenovo</dc:creator>
  <cp:lastModifiedBy>user</cp:lastModifiedBy>
  <cp:lastPrinted>2026-08-21T01:52:00Z</cp:lastPrinted>
  <dcterms:modified xsi:type="dcterms:W3CDTF">2026-08-21T09:47:30Z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KSOTemplateDocerSaveRecord">
    <vt:lpwstr>eyJoZGlkIjoiNDM0ODI2MzViOGQ4MjdiMjEwMDQwMmJlOTZkNzQ5MzkiLCJ1c2VySWQiOiI1MjgxNzM1NjcifQ==</vt:lpwstr>
  </property>
  <property fmtid="{D5CDD505-2E9C-101B-9397-08002B2CF9AE}" pid="4" name="ICV">
    <vt:lpwstr>BE4199902B0548D6A437EA2C79CC83A3_13</vt:lpwstr>
  </property>
</Properties>
</file>